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01_3_2 Minimální požadavky servisní smlouvy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Zadavatel (Objednatel) stanovuje minimální požadavky na servisní smlouvu (SLA). Dodavatelé musí níže uvedené požadavky bezvýhradně zapracovat do vlastního návrhu servisní smlouvy. Žádné ustanovení nesmí níže uvedené požadavky omezovat či rušit.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Minimální požadavky:</w:t>
      </w:r>
    </w:p>
    <w:p>
      <w:pPr>
        <w:pStyle w:val="ZD2rove"/>
        <w:widowControl w:val="false"/>
        <w:numPr>
          <w:ilvl w:val="0"/>
          <w:numId w:val="0"/>
        </w:numPr>
        <w:ind w:hanging="660" w:left="660"/>
        <w:rPr>
          <w:rFonts w:ascii="Verdana" w:hAnsi="Verdana" w:cs="Arial"/>
          <w:b/>
          <w:szCs w:val="20"/>
          <w:lang w:val="cs-CZ"/>
        </w:rPr>
      </w:pPr>
      <w:r>
        <w:rPr>
          <w:rFonts w:cs="Arial" w:ascii="Verdana" w:hAnsi="Verdana"/>
          <w:b/>
          <w:szCs w:val="20"/>
          <w:lang w:val="cs-CZ"/>
        </w:rPr>
        <w:t>Provozní podpora, reklamace a reakční doby Provozní podpory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V případě reklamačního požadavku (tzn. v případě, že dílo nebude splňovat požadavky stanovené Objednatelem v průběhu záruční doby) bude reklamovaná vada odstraněna bezplatně ve lhůtách uvedených níže v části Provozní podpory. V případě požadavku na rozvoj, tzn. požadavku nad rámec původního zadání je možno tuto službu zpoplatnit. V tomto případě dodavatel uvede hodinovou sazbu za tuto službu. 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Reakční doba bude závazná po zaslání požadavku do emailu dodavatele (kterým je </w:t>
      </w:r>
      <w:r>
        <w:rPr>
          <w:rFonts w:cs="Arial" w:ascii="Verdana" w:hAnsi="Verdana"/>
          <w:bCs/>
          <w:szCs w:val="20"/>
          <w:highlight w:val="yellow"/>
          <w:lang w:val="cs-CZ"/>
        </w:rPr>
        <w:t>…………)</w:t>
      </w:r>
      <w:r>
        <w:rPr>
          <w:rFonts w:cs="Arial" w:ascii="Verdana" w:hAnsi="Verdana"/>
          <w:bCs/>
          <w:szCs w:val="20"/>
          <w:lang w:val="cs-CZ"/>
        </w:rPr>
        <w:t xml:space="preserve"> případně Helpdesku (či obdobným způsobem – uvede dodavatel) v souladu se servisní smlouvou. 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>Objednatel vyžaduje následující reakční doby (Reakční doby mohou být upraveny ze strany dodavatele tak, že budou zkráceny. Reakční doby nesmí být v návrhu servisní smlouvy ze strany dodavatele prodlouženy.):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</w:r>
    </w:p>
    <w:tbl>
      <w:tblPr>
        <w:tblW w:w="8363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125"/>
        <w:gridCol w:w="1844"/>
        <w:gridCol w:w="2411"/>
        <w:gridCol w:w="1982"/>
      </w:tblGrid>
      <w:tr>
        <w:trPr/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Doba reakce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16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Penalizace při prodlení - reakce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Doba řešení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16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Penalizace při prodlení - řešení</w:t>
            </w:r>
          </w:p>
        </w:tc>
      </w:tr>
      <w:tr>
        <w:trPr/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 </w:t>
            </w:r>
            <w:r>
              <w:rPr>
                <w:rFonts w:ascii="Verdana" w:hAnsi="Verdana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 xml:space="preserve"> hodin (v pracovních dnech v pracovní době 8:00 – 16:00 hod. – v mimopracovní době lhůta neběží)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Kč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 </w:t>
            </w:r>
            <w:r>
              <w:rPr>
                <w:rFonts w:ascii="Verdana" w:hAnsi="Verdana"/>
                <w:sz w:val="20"/>
                <w:szCs w:val="20"/>
              </w:rPr>
              <w:t>72</w:t>
            </w:r>
            <w:r>
              <w:rPr>
                <w:rFonts w:ascii="Verdana" w:hAnsi="Verdana"/>
                <w:sz w:val="20"/>
                <w:szCs w:val="20"/>
              </w:rPr>
              <w:t xml:space="preserve"> hodin </w:t>
            </w:r>
          </w:p>
          <w:p>
            <w:pPr>
              <w:pStyle w:val="Normal"/>
              <w:widowControl w:val="false"/>
              <w:spacing w:lineRule="auto" w:line="240" w:before="0" w:after="16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(nebude-li s ohledem na povahu závady dohodnuto jinak)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 Kč za každých započatých 24 hod. (běžná hodina)</w:t>
            </w:r>
          </w:p>
        </w:tc>
      </w:tr>
    </w:tbl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Doba reakce je definována potvrzením přijetí oznámení Dodavatelem.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Doba řešení je definována jako čas mezi odesláním oznámení o události a odstraněním problému.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Záruční, pozáruční i mimozáruční servis bude prováděn v místě instalace technologie. 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>Objednatel uplatňuje požadavky na záruční, pozáruční i mimozáruční servis technologie zapsáním požadavku dodavateli.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>Dodavatel potvrdí Objednateli přijetí požadavku na Servis technologie a sdělí nejpozději následující pracovní den plánovaný termín provedení servisního zásahu.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Dodavatel je povinen zajistit servisní výjezd a opravu technologie ve stanovené lhůtě od okamžiku nahlášení požadavku Objednatelem. 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>V případě záruční opravy nevzniká Dodavateli nárok na úhradu nákladů na dopravné, cestovné, čas na cestě servisního technika ani jiných nákladů souvisejících se záruční opravou ze strany Objednatele.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V případě servisu technologie mimo záruční opravy  nebo po uplynutí záruční doby uhradí Objednatel Dodavateli náklady na dopravné, cestovné a čas na cestě servisního technika v celkové výši max. </w:t>
      </w:r>
      <w:r>
        <w:rPr>
          <w:rFonts w:cs="Arial" w:ascii="Verdana" w:hAnsi="Verdana"/>
          <w:bCs/>
          <w:szCs w:val="20"/>
          <w:shd w:fill="FFFF00" w:val="clear"/>
          <w:lang w:val="cs-CZ"/>
        </w:rPr>
        <w:t>…….</w:t>
      </w:r>
      <w:r>
        <w:rPr>
          <w:rFonts w:cs="Arial" w:ascii="Verdana" w:hAnsi="Verdana"/>
          <w:bCs/>
          <w:szCs w:val="20"/>
          <w:lang w:val="cs-CZ"/>
        </w:rPr>
        <w:t xml:space="preserve"> Kč (uvede dodavatel max. však 3.000,- Kč)  za jeden požadovaný servisní výjezd. K této částce budou připočteny položky vlastní servisní práce a  součástek (náhradních dílů a spotřebního materiálu). Před provedením samotné opravy bude Objednateli předložena kalkulace celkové ceny opravy k odsouhlasení. Na základě předložené kalkulace má Objednatel právo odmítnou provedení opravy. Cena náhradních dílů a spotřebního materiálu nesmí být v rozporu s dobrými mravy, tj. nesmí převyšovat cenu v čase a místě obvyklou. 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Servisní služba technologie bude plněna po celou dobu platnosti servisní smlouvy. 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/>
          <w:szCs w:val="20"/>
          <w:lang w:val="cs-CZ"/>
        </w:rPr>
      </w:pPr>
      <w:r>
        <w:rPr>
          <w:rFonts w:cs="Arial" w:ascii="Verdana" w:hAnsi="Verdana"/>
          <w:b/>
          <w:szCs w:val="20"/>
          <w:lang w:val="cs-CZ"/>
        </w:rPr>
        <w:t>Platební podmínky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Služby budou fakturovány na základě měsíčních faktur. Rozsah poskytnutých služeb podléhá schválení Objednateli. Splatnost faktur je 30 dnů ode dne doručení Objednateli. Faktura je uhrazena dnem odepsání příslušné částky z účtu Objednatele ve prospěch účtu dodavatele. 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>Dodavatelé stanoví ceny za služby plynoucí ze servisní smlouvy, a to v závazném členění: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4"/>
        <w:gridCol w:w="1932"/>
        <w:gridCol w:w="1797"/>
        <w:gridCol w:w="1795"/>
        <w:gridCol w:w="1674"/>
      </w:tblGrid>
      <w:tr>
        <w:trPr/>
        <w:tc>
          <w:tcPr>
            <w:tcW w:w="1864" w:type="dxa"/>
            <w:tcBorders/>
          </w:tcPr>
          <w:p>
            <w:pPr>
              <w:pStyle w:val="ZD2rove"/>
              <w:widowControl w:val="false"/>
              <w:numPr>
                <w:ilvl w:val="0"/>
                <w:numId w:val="0"/>
              </w:numPr>
              <w:suppressAutoHyphens w:val="true"/>
              <w:spacing w:before="120" w:after="0"/>
              <w:ind w:hanging="0" w:left="0"/>
              <w:rPr>
                <w:rFonts w:ascii="Verdana" w:hAnsi="Verdana" w:cs="Arial"/>
                <w:bCs/>
                <w:szCs w:val="20"/>
                <w:lang w:val="cs-CZ"/>
              </w:rPr>
            </w:pPr>
            <w:r>
              <w:rPr>
                <w:rFonts w:cs="Arial" w:ascii="Verdana" w:hAnsi="Verdana"/>
                <w:bCs/>
                <w:szCs w:val="20"/>
                <w:lang w:val="cs-CZ" w:eastAsia="en-US" w:bidi="ar-SA"/>
              </w:rPr>
              <w:t>Služba</w:t>
            </w:r>
          </w:p>
        </w:tc>
        <w:tc>
          <w:tcPr>
            <w:tcW w:w="1932" w:type="dxa"/>
            <w:tcBorders/>
          </w:tcPr>
          <w:p>
            <w:pPr>
              <w:pStyle w:val="ZD2rove"/>
              <w:widowControl w:val="false"/>
              <w:numPr>
                <w:ilvl w:val="0"/>
                <w:numId w:val="0"/>
              </w:numPr>
              <w:suppressAutoHyphens w:val="true"/>
              <w:spacing w:before="120" w:after="0"/>
              <w:ind w:hanging="0" w:left="0"/>
              <w:rPr>
                <w:rFonts w:ascii="Verdana" w:hAnsi="Verdana" w:cs="Arial"/>
                <w:bCs/>
                <w:szCs w:val="20"/>
                <w:lang w:val="cs-CZ"/>
              </w:rPr>
            </w:pPr>
            <w:r>
              <w:rPr>
                <w:rFonts w:cs="Arial" w:ascii="Verdana" w:hAnsi="Verdana"/>
                <w:bCs/>
                <w:szCs w:val="20"/>
                <w:lang w:val="cs-CZ" w:eastAsia="en-US" w:bidi="ar-SA"/>
              </w:rPr>
              <w:t>Jednotka</w:t>
            </w:r>
          </w:p>
        </w:tc>
        <w:tc>
          <w:tcPr>
            <w:tcW w:w="1797" w:type="dxa"/>
            <w:tcBorders/>
          </w:tcPr>
          <w:p>
            <w:pPr>
              <w:pStyle w:val="ZD2rove"/>
              <w:widowControl w:val="false"/>
              <w:numPr>
                <w:ilvl w:val="0"/>
                <w:numId w:val="0"/>
              </w:numPr>
              <w:suppressAutoHyphens w:val="true"/>
              <w:spacing w:before="120" w:after="0"/>
              <w:ind w:hanging="0" w:left="0"/>
              <w:rPr>
                <w:rFonts w:ascii="Verdana" w:hAnsi="Verdana" w:cs="Arial"/>
                <w:bCs/>
                <w:szCs w:val="20"/>
                <w:lang w:val="cs-CZ"/>
              </w:rPr>
            </w:pPr>
            <w:r>
              <w:rPr>
                <w:rFonts w:cs="Arial" w:ascii="Verdana" w:hAnsi="Verdana"/>
                <w:bCs/>
                <w:szCs w:val="20"/>
                <w:lang w:val="cs-CZ" w:eastAsia="en-US" w:bidi="ar-SA"/>
              </w:rPr>
              <w:t>Kč bez DPH</w:t>
            </w:r>
          </w:p>
        </w:tc>
        <w:tc>
          <w:tcPr>
            <w:tcW w:w="1795" w:type="dxa"/>
            <w:tcBorders/>
          </w:tcPr>
          <w:p>
            <w:pPr>
              <w:pStyle w:val="ZD2rove"/>
              <w:widowControl w:val="false"/>
              <w:numPr>
                <w:ilvl w:val="0"/>
                <w:numId w:val="0"/>
              </w:numPr>
              <w:suppressAutoHyphens w:val="true"/>
              <w:spacing w:before="120" w:after="0"/>
              <w:ind w:hanging="0" w:left="0"/>
              <w:rPr>
                <w:rFonts w:ascii="Verdana" w:hAnsi="Verdana" w:cs="Arial"/>
                <w:bCs/>
                <w:szCs w:val="20"/>
                <w:lang w:val="cs-CZ"/>
              </w:rPr>
            </w:pPr>
            <w:r>
              <w:rPr>
                <w:rFonts w:cs="Arial" w:ascii="Verdana" w:hAnsi="Verdana"/>
                <w:bCs/>
                <w:szCs w:val="20"/>
                <w:lang w:val="cs-CZ" w:eastAsia="en-US" w:bidi="ar-SA"/>
              </w:rPr>
              <w:t>DPH</w:t>
            </w:r>
          </w:p>
        </w:tc>
        <w:tc>
          <w:tcPr>
            <w:tcW w:w="1674" w:type="dxa"/>
            <w:tcBorders/>
          </w:tcPr>
          <w:p>
            <w:pPr>
              <w:pStyle w:val="ZD2rove"/>
              <w:widowControl w:val="false"/>
              <w:numPr>
                <w:ilvl w:val="0"/>
                <w:numId w:val="0"/>
              </w:numPr>
              <w:suppressAutoHyphens w:val="true"/>
              <w:spacing w:before="120" w:after="0"/>
              <w:ind w:hanging="0" w:left="0"/>
              <w:rPr>
                <w:rFonts w:ascii="Verdana" w:hAnsi="Verdana" w:cs="Arial"/>
                <w:bCs/>
                <w:szCs w:val="20"/>
                <w:lang w:val="cs-CZ"/>
              </w:rPr>
            </w:pPr>
            <w:r>
              <w:rPr>
                <w:rFonts w:cs="Arial" w:ascii="Verdana" w:hAnsi="Verdana"/>
                <w:bCs/>
                <w:szCs w:val="20"/>
                <w:lang w:val="cs-CZ" w:eastAsia="en-US" w:bidi="ar-SA"/>
              </w:rPr>
              <w:t>Kč vč. DPH</w:t>
            </w:r>
          </w:p>
        </w:tc>
      </w:tr>
      <w:tr>
        <w:trPr/>
        <w:tc>
          <w:tcPr>
            <w:tcW w:w="1864" w:type="dxa"/>
            <w:tcBorders/>
          </w:tcPr>
          <w:p>
            <w:pPr>
              <w:pStyle w:val="ZD2rove"/>
              <w:widowControl w:val="false"/>
              <w:numPr>
                <w:ilvl w:val="0"/>
                <w:numId w:val="0"/>
              </w:numPr>
              <w:suppressAutoHyphens w:val="true"/>
              <w:spacing w:before="120" w:after="0"/>
              <w:ind w:hanging="0" w:left="0"/>
              <w:rPr>
                <w:rFonts w:ascii="Verdana" w:hAnsi="Verdana" w:cs="Arial"/>
                <w:bCs/>
                <w:szCs w:val="20"/>
                <w:lang w:val="cs-CZ"/>
              </w:rPr>
            </w:pPr>
            <w:r>
              <w:rPr>
                <w:rFonts w:cs="Arial" w:ascii="Verdana" w:hAnsi="Verdana"/>
                <w:bCs/>
                <w:szCs w:val="20"/>
                <w:lang w:val="cs-CZ" w:eastAsia="en-US" w:bidi="ar-SA"/>
              </w:rPr>
              <w:t>Servis technologie</w:t>
            </w:r>
          </w:p>
        </w:tc>
        <w:tc>
          <w:tcPr>
            <w:tcW w:w="1932" w:type="dxa"/>
            <w:tcBorders/>
          </w:tcPr>
          <w:p>
            <w:pPr>
              <w:pStyle w:val="ZD2rove"/>
              <w:widowControl w:val="false"/>
              <w:numPr>
                <w:ilvl w:val="0"/>
                <w:numId w:val="0"/>
              </w:numPr>
              <w:suppressAutoHyphens w:val="true"/>
              <w:spacing w:before="120" w:after="0"/>
              <w:ind w:hanging="0" w:left="0"/>
              <w:rPr>
                <w:rFonts w:ascii="Verdana" w:hAnsi="Verdana" w:cs="Arial"/>
                <w:bCs/>
                <w:szCs w:val="20"/>
                <w:lang w:val="cs-CZ"/>
              </w:rPr>
            </w:pPr>
            <w:r>
              <w:rPr>
                <w:rFonts w:cs="Arial" w:ascii="Verdana" w:hAnsi="Verdana"/>
                <w:bCs/>
                <w:szCs w:val="20"/>
                <w:lang w:val="cs-CZ" w:eastAsia="en-US" w:bidi="ar-SA"/>
              </w:rPr>
              <w:t>Hodinová sazba</w:t>
            </w:r>
          </w:p>
        </w:tc>
        <w:tc>
          <w:tcPr>
            <w:tcW w:w="1797" w:type="dxa"/>
            <w:tcBorders/>
          </w:tcPr>
          <w:p>
            <w:pPr>
              <w:pStyle w:val="ZD2rove"/>
              <w:widowControl w:val="false"/>
              <w:numPr>
                <w:ilvl w:val="0"/>
                <w:numId w:val="0"/>
              </w:numPr>
              <w:suppressAutoHyphens w:val="true"/>
              <w:spacing w:before="120" w:after="0"/>
              <w:ind w:hanging="0" w:left="0"/>
              <w:rPr>
                <w:rFonts w:ascii="Verdana" w:hAnsi="Verdana" w:cs="Arial"/>
                <w:bCs/>
                <w:szCs w:val="20"/>
                <w:lang w:val="cs-CZ"/>
              </w:rPr>
            </w:pPr>
            <w:r>
              <w:rPr>
                <w:rFonts w:cs="Arial" w:ascii="Verdana" w:hAnsi="Verdana"/>
                <w:bCs/>
                <w:szCs w:val="20"/>
                <w:lang w:val="cs-CZ"/>
              </w:rPr>
            </w:r>
          </w:p>
        </w:tc>
        <w:tc>
          <w:tcPr>
            <w:tcW w:w="1795" w:type="dxa"/>
            <w:tcBorders/>
          </w:tcPr>
          <w:p>
            <w:pPr>
              <w:pStyle w:val="ZD2rove"/>
              <w:widowControl w:val="false"/>
              <w:numPr>
                <w:ilvl w:val="0"/>
                <w:numId w:val="0"/>
              </w:numPr>
              <w:suppressAutoHyphens w:val="true"/>
              <w:spacing w:before="120" w:after="0"/>
              <w:ind w:hanging="0" w:left="0"/>
              <w:rPr>
                <w:rFonts w:ascii="Verdana" w:hAnsi="Verdana" w:cs="Arial"/>
                <w:bCs/>
                <w:szCs w:val="20"/>
                <w:lang w:val="cs-CZ"/>
              </w:rPr>
            </w:pPr>
            <w:r>
              <w:rPr>
                <w:rFonts w:cs="Arial" w:ascii="Verdana" w:hAnsi="Verdana"/>
                <w:bCs/>
                <w:szCs w:val="20"/>
                <w:lang w:val="cs-CZ"/>
              </w:rPr>
            </w:r>
          </w:p>
        </w:tc>
        <w:tc>
          <w:tcPr>
            <w:tcW w:w="1674" w:type="dxa"/>
            <w:tcBorders/>
          </w:tcPr>
          <w:p>
            <w:pPr>
              <w:pStyle w:val="ZD2rove"/>
              <w:widowControl w:val="false"/>
              <w:numPr>
                <w:ilvl w:val="0"/>
                <w:numId w:val="0"/>
              </w:numPr>
              <w:suppressAutoHyphens w:val="true"/>
              <w:spacing w:before="120" w:after="0"/>
              <w:ind w:hanging="0" w:left="0"/>
              <w:rPr>
                <w:rFonts w:ascii="Verdana" w:hAnsi="Verdana" w:cs="Arial"/>
                <w:bCs/>
                <w:szCs w:val="20"/>
                <w:lang w:val="cs-CZ"/>
              </w:rPr>
            </w:pPr>
            <w:r>
              <w:rPr>
                <w:rFonts w:cs="Arial" w:ascii="Verdana" w:hAnsi="Verdana"/>
                <w:bCs/>
                <w:szCs w:val="20"/>
                <w:lang w:val="cs-CZ"/>
              </w:rPr>
            </w:r>
          </w:p>
        </w:tc>
      </w:tr>
    </w:tbl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K výše uvedeným cenám nebudou účtovány žádné další poplatky (vyjma nákladů dopravy v případě mimozáručního servisu  – viz výše). 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Fakturace za služby plynoucí ze servisní smlouvy je možná až po předání předmětu hlavní smlouvy do užívání Objednateli bez vad a nedodělků bránících užívání díla. 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Dodavatel je oprávněn maximálně 1x ročně upravit cenu plnění za Služby poskytované dle této Smlouvy s respektováním těchto zásad: </w:t>
      </w:r>
    </w:p>
    <w:p>
      <w:pPr>
        <w:pStyle w:val="ZD2rove"/>
        <w:widowControl w:val="false"/>
        <w:numPr>
          <w:ilvl w:val="0"/>
          <w:numId w:val="2"/>
        </w:numPr>
        <w:ind w:hanging="426" w:left="426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>výpočtem bude určen index pro přepočet ceny plnění dle této Smlouvy; index bude vypočítán na základě rozdílu míry inflace zveřejněné Českým statistickým úřadem (dále jen "ČSÚ") v předchozím ročním období, přičemž za roční míru inflace se považuje míra vyjádřená přírůstkem průměrného ročního indexu spotřebitelských cen uveřejněná pro příslušné roční období na webových stránkách ČSÚ, Inflace - druhy, definice, tabulky;</w:t>
      </w:r>
    </w:p>
    <w:p>
      <w:pPr>
        <w:pStyle w:val="ZD2rove"/>
        <w:widowControl w:val="false"/>
        <w:numPr>
          <w:ilvl w:val="0"/>
          <w:numId w:val="2"/>
        </w:numPr>
        <w:ind w:hanging="426" w:left="426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pokud bude roční výše inflace do 10 % pak se navyšuje o tuto hodnotu a bude-li nad 10 % tak o 10 % + polovina výše inflace nad tuto hodnotu </w:t>
      </w:r>
    </w:p>
    <w:p>
      <w:pPr>
        <w:pStyle w:val="ZD2rove"/>
        <w:widowControl w:val="false"/>
        <w:numPr>
          <w:ilvl w:val="0"/>
          <w:numId w:val="2"/>
        </w:numPr>
        <w:ind w:hanging="426" w:left="426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>Dodavatel nejpozději do 30.3. daného roku písemně informuje Objednatele o úpravě ceny podle výše uvedených zásad. Písemné oznámení může být provedeno i prostřednictvím e-mailu zaslaného odpovědným pracovníkům Objednatele, zpráva musí obsahovat minimálně stanovený určený roční index a přepočtenou (novou) cenu plnění.</w:t>
      </w:r>
    </w:p>
    <w:p>
      <w:pPr>
        <w:pStyle w:val="ZD2rove"/>
        <w:widowControl w:val="false"/>
        <w:numPr>
          <w:ilvl w:val="0"/>
          <w:numId w:val="2"/>
        </w:numPr>
        <w:ind w:hanging="426" w:left="426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>Objednatel je oprávněn do 10 (slovy: deseti) pracovních dnů ode dne doručení písemného oznámení o úpravě ceny, tento výpočet písemnou formou rozporovat a požadovat úpravu výpočtu.</w:t>
      </w:r>
    </w:p>
    <w:p>
      <w:pPr>
        <w:pStyle w:val="ZD2rove"/>
        <w:widowControl w:val="false"/>
        <w:numPr>
          <w:ilvl w:val="0"/>
          <w:numId w:val="2"/>
        </w:numPr>
        <w:ind w:hanging="426" w:left="426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>Po uplynutí lhůty 10 (slovy: deseti) pracovních dnů je písemné oznámení považováno za akceptované a Poskytovatel je oprávněn fakturovat nově vypočtenou cenu plnění.</w:t>
      </w:r>
    </w:p>
    <w:p>
      <w:pPr>
        <w:pStyle w:val="ZD2rove"/>
        <w:widowControl w:val="false"/>
        <w:numPr>
          <w:ilvl w:val="0"/>
          <w:numId w:val="2"/>
        </w:numPr>
        <w:ind w:hanging="426" w:left="426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>Tato inflační doložka bude uplatněna Poskytovatelem poprvé pro úpravu ceny na rok 2026.</w:t>
      </w:r>
    </w:p>
    <w:p>
      <w:pPr>
        <w:pStyle w:val="ZD2rove"/>
        <w:widowControl w:val="false"/>
        <w:numPr>
          <w:ilvl w:val="0"/>
          <w:numId w:val="0"/>
        </w:numPr>
        <w:ind w:hanging="0" w:left="0"/>
        <w:rPr>
          <w:rFonts w:ascii="Verdana" w:hAnsi="Verdana" w:cs="Arial"/>
          <w:bCs/>
          <w:szCs w:val="20"/>
          <w:lang w:val="cs-CZ"/>
        </w:rPr>
      </w:pPr>
      <w:r>
        <w:rPr>
          <w:rFonts w:cs="Arial" w:ascii="Verdana" w:hAnsi="Verdana"/>
          <w:bCs/>
          <w:szCs w:val="20"/>
          <w:lang w:val="cs-CZ"/>
        </w:rPr>
        <w:t xml:space="preserve">Inflační doložka se uplatní vždy od začátku příslušného kalendářního roku a nejblíže následující splatná cena plnění bude zahrnovat i úpravy ceny za předcházející plnění od počátku příslušného kalendářního roku, ve kterém se inflační doložka aplikuje.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660"/>
        </w:tabs>
        <w:ind w:left="660" w:hanging="660"/>
      </w:pPr>
      <w:rPr>
        <w:sz w:val="20"/>
        <w:b w:val="false"/>
        <w:szCs w:val="2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i w:val="false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3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D2roveChar" w:customStyle="1">
    <w:name w:val="ZD 2. úroveň Char"/>
    <w:link w:val="ZD2rove"/>
    <w:qFormat/>
    <w:rsid w:val="00a820b2"/>
    <w:rPr>
      <w:rFonts w:ascii="Tahoma" w:hAnsi="Tahoma" w:eastAsia="Calibri" w:cs="Times New Roman"/>
      <w:kern w:val="0"/>
      <w:sz w:val="20"/>
      <w:lang w:val="x-none"/>
      <w14:ligatures w14:val="non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ZDlnek" w:customStyle="1">
    <w:name w:val="ZD článek"/>
    <w:basedOn w:val="Normal"/>
    <w:qFormat/>
    <w:rsid w:val="00a820b2"/>
    <w:pPr>
      <w:keepNext w:val="true"/>
      <w:numPr>
        <w:ilvl w:val="0"/>
        <w:numId w:val="1"/>
      </w:numPr>
      <w:shd w:val="clear" w:color="auto" w:fill="C6D9F1"/>
      <w:spacing w:lineRule="auto" w:line="360" w:before="0" w:after="240"/>
      <w:jc w:val="center"/>
    </w:pPr>
    <w:rPr>
      <w:rFonts w:ascii="Tahoma" w:hAnsi="Tahoma" w:eastAsia="Calibri" w:cs="Times New Roman"/>
      <w:b/>
      <w:caps/>
      <w:kern w:val="0"/>
      <w:sz w:val="20"/>
      <w:lang w:val="x-none"/>
      <w14:ligatures w14:val="none"/>
    </w:rPr>
  </w:style>
  <w:style w:type="paragraph" w:styleId="ZD2rove" w:customStyle="1">
    <w:name w:val="ZD 2. úroveň"/>
    <w:basedOn w:val="Normal"/>
    <w:link w:val="ZD2roveChar"/>
    <w:qFormat/>
    <w:rsid w:val="00a820b2"/>
    <w:pPr>
      <w:numPr>
        <w:ilvl w:val="1"/>
        <w:numId w:val="1"/>
      </w:numPr>
      <w:spacing w:lineRule="auto" w:line="240" w:before="120" w:after="0"/>
      <w:jc w:val="both"/>
    </w:pPr>
    <w:rPr>
      <w:rFonts w:ascii="Tahoma" w:hAnsi="Tahoma" w:eastAsia="Calibri" w:cs="Times New Roman"/>
      <w:kern w:val="0"/>
      <w:sz w:val="20"/>
      <w:lang w:val="x-none"/>
      <w14:ligatures w14:val="none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508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LibreOffice/25.2.2.2$Windows_X86_64 LibreOffice_project/7370d4be9e3cf6031a51beef54ff3bda878e3fac</Application>
  <AppVersion>15.0000</AppVersion>
  <Pages>2</Pages>
  <Words>793</Words>
  <Characters>4769</Characters>
  <CharactersWithSpaces>5534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2023-07-09T18:27:00Z</dcterms:created>
  <dc:creator>Jiří Zapletal</dc:creator>
  <dc:description/>
  <dc:language>cs-CZ</dc:language>
  <cp:lastModifiedBy/>
  <dcterms:modified xsi:type="dcterms:W3CDTF">2025-04-14T13:05:15Z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