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VZ/8/SSRZ/2025 – Rekonstrukce vstupu Letního koupaliště Jindřich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26" w:left="42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seznam stavebních prací poskytnutých za posledních 5 let před zahájením zadávacího řízení.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</w:rPr>
              <w:t>Z tohoto seznamu musí být zřejmé, že dodavatel poskytl min. 2 nejvýznamnějších akcí obdobného typu, tj. provedení stavebních úprav stávajícího objektu či provedení novostavby, každá z těchto staveb musela být ve finanční hodnotě min. 600 tis. Kč bez DPH.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lang w:val="cs-CZ" w:eastAsia="en-US" w:bidi="ar-SA"/>
              </w:rPr>
            </w:pPr>
            <w:r>
              <w:rPr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vydaného objednatelem.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lang w:val="cs-CZ" w:eastAsia="en-US" w:bidi="ar-SA"/>
              </w:rPr>
            </w:pPr>
            <w:r>
              <w:rPr>
                <w:lang w:val="cs-CZ" w:eastAsia="en-US" w:bidi="ar-SA"/>
              </w:rPr>
              <w:t>Rovnocenným dokladem k prokázání kritéria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uiPriority w:val="99"/>
    <w:semiHidden/>
    <w:unhideWhenUsed/>
    <w:qFormat/>
    <w:rsid w:val="00d2034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LibreOffice/24.8.4.2$Windows_X86_64 LibreOffice_project/bb3cfa12c7b1bf994ecc5649a80400d06cd71002</Application>
  <AppVersion>15.0000</AppVersion>
  <Pages>4</Pages>
  <Words>1381</Words>
  <Characters>8163</Characters>
  <CharactersWithSpaces>9477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2025-02-05T18:08:46Z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