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ubtitle"/>
        <w:spacing w:before="0" w:after="120"/>
        <w:rPr>
          <w:rFonts w:ascii="Tahoma" w:hAnsi="Tahoma" w:cs="Tahoma"/>
          <w:caps/>
          <w:szCs w:val="28"/>
        </w:rPr>
      </w:pPr>
      <w:r>
        <w:rPr>
          <w:rFonts w:cs="Tahoma" w:ascii="Tahoma" w:hAnsi="Tahoma"/>
          <w:caps/>
          <w:szCs w:val="28"/>
        </w:rPr>
        <w:t>Smlouva o dílo</w:t>
      </w:r>
    </w:p>
    <w:p>
      <w:pPr>
        <w:pStyle w:val="Normal"/>
        <w:keepNext w:val="true"/>
        <w:spacing w:before="360" w:after="0"/>
        <w:jc w:val="center"/>
        <w:rPr>
          <w:rFonts w:ascii="Tahoma" w:hAnsi="Tahoma" w:cs="Tahoma"/>
          <w:b/>
          <w:sz w:val="22"/>
          <w:szCs w:val="22"/>
        </w:rPr>
      </w:pPr>
      <w:r>
        <w:rPr>
          <w:rFonts w:cs="Tahoma" w:ascii="Tahoma" w:hAnsi="Tahoma"/>
          <w:b/>
          <w:sz w:val="22"/>
          <w:szCs w:val="22"/>
        </w:rPr>
        <w:t>I.</w:t>
        <w:br/>
        <w:t>Smluvní strany</w:t>
      </w:r>
    </w:p>
    <w:p>
      <w:pPr>
        <w:pStyle w:val="Normal"/>
        <w:numPr>
          <w:ilvl w:val="0"/>
          <w:numId w:val="29"/>
        </w:numPr>
        <w:tabs>
          <w:tab w:val="clear" w:pos="709"/>
          <w:tab w:val="left" w:pos="426" w:leader="none"/>
        </w:tabs>
        <w:spacing w:before="240" w:after="0"/>
        <w:ind w:hanging="436" w:left="720"/>
        <w:jc w:val="both"/>
        <w:rPr>
          <w:rFonts w:ascii="Tahoma" w:hAnsi="Tahoma" w:cs="Tahoma"/>
          <w:b/>
        </w:rPr>
      </w:pPr>
      <w:r>
        <w:rPr>
          <w:rFonts w:cs="Tahoma" w:ascii="Tahoma" w:hAnsi="Tahoma"/>
          <w:b/>
        </w:rPr>
        <w:t>Správa sportovních a rekreačních zařízení Havířov</w:t>
      </w:r>
    </w:p>
    <w:p>
      <w:pPr>
        <w:pStyle w:val="Normal"/>
        <w:numPr>
          <w:ilvl w:val="0"/>
          <w:numId w:val="29"/>
        </w:numPr>
        <w:overflowPunct w:val="true"/>
        <w:ind w:hanging="360" w:left="357"/>
        <w:jc w:val="both"/>
        <w:textAlignment w:val="baseline"/>
        <w:rPr>
          <w:rFonts w:ascii="Tahoma" w:hAnsi="Tahoma" w:cs="Tahoma"/>
        </w:rPr>
      </w:pPr>
      <w:r>
        <w:rPr>
          <w:rFonts w:cs="Tahoma" w:ascii="Tahoma" w:hAnsi="Tahoma"/>
        </w:rPr>
        <w:t>IČO:</w:t>
        <w:tab/>
        <w:tab/>
        <w:tab/>
        <w:t>00306754</w:t>
      </w:r>
    </w:p>
    <w:p>
      <w:pPr>
        <w:pStyle w:val="Normal"/>
        <w:numPr>
          <w:ilvl w:val="0"/>
          <w:numId w:val="29"/>
        </w:numPr>
        <w:overflowPunct w:val="true"/>
        <w:ind w:hanging="360" w:left="357"/>
        <w:jc w:val="both"/>
        <w:textAlignment w:val="baseline"/>
        <w:rPr>
          <w:rFonts w:ascii="Tahoma" w:hAnsi="Tahoma" w:cs="Tahoma"/>
        </w:rPr>
      </w:pPr>
      <w:r>
        <w:rPr>
          <w:rFonts w:cs="Tahoma" w:ascii="Tahoma" w:hAnsi="Tahoma"/>
        </w:rPr>
        <w:t>DIČ:</w:t>
        <w:tab/>
        <w:tab/>
        <w:tab/>
        <w:t>CZ00306754</w:t>
      </w:r>
    </w:p>
    <w:p>
      <w:pPr>
        <w:pStyle w:val="Normal"/>
        <w:numPr>
          <w:ilvl w:val="0"/>
          <w:numId w:val="0"/>
        </w:numPr>
        <w:tabs>
          <w:tab w:val="clear" w:pos="709"/>
          <w:tab w:val="left" w:pos="2977" w:leader="none"/>
        </w:tabs>
        <w:ind w:hanging="0" w:left="357"/>
        <w:jc w:val="both"/>
        <w:rPr>
          <w:rFonts w:ascii="Tahoma" w:hAnsi="Tahoma" w:cs="Tahoma"/>
        </w:rPr>
      </w:pPr>
      <w:r>
        <w:rPr>
          <w:rFonts w:cs="Tahoma" w:ascii="Tahoma" w:hAnsi="Tahoma"/>
        </w:rPr>
        <w:t>bankovní spojení:        Komerční banka a.s., č.ú. 1434791/0100</w:t>
      </w:r>
    </w:p>
    <w:p>
      <w:pPr>
        <w:pStyle w:val="Normal"/>
        <w:numPr>
          <w:ilvl w:val="0"/>
          <w:numId w:val="0"/>
        </w:numPr>
        <w:tabs>
          <w:tab w:val="clear" w:pos="709"/>
          <w:tab w:val="left" w:pos="2835" w:leader="none"/>
        </w:tabs>
        <w:ind w:hanging="0" w:left="357"/>
        <w:jc w:val="both"/>
        <w:rPr>
          <w:rFonts w:ascii="Tahoma" w:hAnsi="Tahoma" w:cs="Tahoma"/>
          <w:iCs/>
        </w:rPr>
      </w:pPr>
      <w:r>
        <w:rPr>
          <w:rFonts w:cs="Tahoma" w:ascii="Tahoma" w:hAnsi="Tahoma"/>
        </w:rPr>
        <w:t>společnost zastoupená:</w:t>
        <w:tab/>
        <w:t>PhDr. Mgr. Nazim Afana, LL.M. - ředitel</w:t>
      </w:r>
    </w:p>
    <w:p>
      <w:pPr>
        <w:pStyle w:val="Normal"/>
        <w:numPr>
          <w:ilvl w:val="0"/>
          <w:numId w:val="0"/>
        </w:numPr>
        <w:ind w:hanging="0" w:left="357"/>
        <w:jc w:val="both"/>
        <w:rPr>
          <w:rFonts w:ascii="Tahoma" w:hAnsi="Tahoma" w:cs="Tahoma"/>
        </w:rPr>
      </w:pPr>
      <w:r>
        <w:rPr>
          <w:rFonts w:cs="Tahoma" w:ascii="Tahoma" w:hAnsi="Tahoma"/>
        </w:rPr>
        <w:t>se sídlem:</w:t>
        <w:tab/>
        <w:tab/>
        <w:t>Těšínská 1296/2a, 736 01 Havířov – Podlesí</w:t>
      </w:r>
    </w:p>
    <w:p>
      <w:pPr>
        <w:pStyle w:val="Normal"/>
        <w:numPr>
          <w:ilvl w:val="0"/>
          <w:numId w:val="0"/>
        </w:numPr>
        <w:ind w:hanging="0" w:left="357"/>
        <w:jc w:val="both"/>
        <w:rPr>
          <w:rFonts w:ascii="Tahoma" w:hAnsi="Tahoma" w:cs="Tahoma"/>
        </w:rPr>
      </w:pPr>
      <w:r>
        <w:rPr>
          <w:rFonts w:cs="Tahoma" w:ascii="Tahoma" w:hAnsi="Tahoma"/>
        </w:rPr>
        <w:t>e-mail:</w:t>
        <w:tab/>
        <w:tab/>
        <w:tab/>
      </w:r>
      <w:hyperlink r:id="rId2">
        <w:r>
          <w:rPr>
            <w:rStyle w:val="Hyperlink"/>
            <w:rFonts w:cs="Tahoma" w:ascii="Tahoma" w:hAnsi="Tahoma"/>
          </w:rPr>
          <w:t>info@ssrz.cz</w:t>
        </w:r>
      </w:hyperlink>
    </w:p>
    <w:p>
      <w:pPr>
        <w:pStyle w:val="Normal"/>
        <w:numPr>
          <w:ilvl w:val="0"/>
          <w:numId w:val="0"/>
        </w:numPr>
        <w:ind w:hanging="0" w:left="357"/>
        <w:jc w:val="both"/>
        <w:rPr>
          <w:rFonts w:ascii="Tahoma" w:hAnsi="Tahoma" w:cs="Tahoma"/>
        </w:rPr>
      </w:pPr>
      <w:r>
        <w:rPr>
          <w:rFonts w:cs="Tahoma" w:ascii="Tahoma" w:hAnsi="Tahoma"/>
        </w:rPr>
        <w:t>tel.:</w:t>
        <w:tab/>
        <w:tab/>
        <w:tab/>
        <w:t>+420 596415765</w:t>
      </w:r>
    </w:p>
    <w:p>
      <w:pPr>
        <w:pStyle w:val="Normal"/>
        <w:numPr>
          <w:ilvl w:val="0"/>
          <w:numId w:val="0"/>
        </w:numPr>
        <w:ind w:hanging="0" w:left="357"/>
        <w:jc w:val="both"/>
        <w:rPr>
          <w:rFonts w:ascii="Tahoma" w:hAnsi="Tahoma" w:cs="Tahoma"/>
        </w:rPr>
      </w:pPr>
      <w:r>
        <w:rPr>
          <w:rFonts w:cs="Tahoma" w:ascii="Tahoma" w:hAnsi="Tahoma"/>
        </w:rPr>
        <w:t>Osoba odpovědná za průběh realizace stavby:</w:t>
      </w:r>
    </w:p>
    <w:p>
      <w:pPr>
        <w:pStyle w:val="Normal"/>
        <w:spacing w:before="120" w:after="0"/>
        <w:ind w:left="357"/>
        <w:jc w:val="both"/>
        <w:rPr>
          <w:rFonts w:ascii="Tahoma" w:hAnsi="Tahoma" w:cs="Tahoma"/>
          <w:iCs/>
          <w:sz w:val="22"/>
          <w:szCs w:val="22"/>
        </w:rPr>
      </w:pPr>
      <w:r>
        <w:rPr>
          <w:rFonts w:cs="Tahoma" w:ascii="Tahoma" w:hAnsi="Tahoma"/>
          <w:iCs/>
          <w:sz w:val="22"/>
          <w:szCs w:val="22"/>
        </w:rPr>
        <w:t>(</w:t>
      </w:r>
      <w:r>
        <w:rPr>
          <w:rFonts w:cs="Tahoma" w:ascii="Tahoma" w:hAnsi="Tahoma"/>
          <w:sz w:val="22"/>
          <w:szCs w:val="22"/>
        </w:rPr>
        <w:t>dále</w:t>
      </w:r>
      <w:r>
        <w:rPr>
          <w:rFonts w:cs="Tahoma" w:ascii="Tahoma" w:hAnsi="Tahoma"/>
          <w:iCs/>
          <w:sz w:val="22"/>
          <w:szCs w:val="22"/>
        </w:rPr>
        <w:t xml:space="preserve"> jen „</w:t>
      </w:r>
      <w:r>
        <w:rPr>
          <w:rFonts w:cs="Tahoma" w:ascii="Tahoma" w:hAnsi="Tahoma"/>
          <w:b/>
          <w:iCs/>
          <w:sz w:val="22"/>
          <w:szCs w:val="22"/>
        </w:rPr>
        <w:t>objednatel</w:t>
      </w:r>
      <w:r>
        <w:rPr>
          <w:rFonts w:cs="Tahoma" w:ascii="Tahoma" w:hAnsi="Tahoma"/>
          <w:iCs/>
          <w:sz w:val="22"/>
          <w:szCs w:val="22"/>
        </w:rPr>
        <w:t>“)</w:t>
      </w:r>
    </w:p>
    <w:p>
      <w:pPr>
        <w:pStyle w:val="Normal"/>
        <w:numPr>
          <w:ilvl w:val="0"/>
          <w:numId w:val="29"/>
        </w:numPr>
        <w:spacing w:before="240" w:after="0"/>
        <w:jc w:val="both"/>
        <w:rPr>
          <w:rFonts w:ascii="Tahoma" w:hAnsi="Tahoma" w:cs="Tahoma"/>
          <w:b/>
          <w:sz w:val="22"/>
          <w:szCs w:val="22"/>
        </w:rPr>
      </w:pPr>
      <w:r>
        <w:rPr>
          <w:rFonts w:cs="Tahoma" w:ascii="Tahoma" w:hAnsi="Tahoma"/>
          <w:b/>
          <w:sz w:val="22"/>
          <w:szCs w:val="22"/>
        </w:rPr>
        <w:t>Obchodní</w:t>
      </w:r>
      <w:r>
        <w:rPr>
          <w:rFonts w:cs="Tahoma" w:ascii="Tahoma" w:hAnsi="Tahoma"/>
          <w:sz w:val="22"/>
          <w:szCs w:val="22"/>
        </w:rPr>
        <w:t xml:space="preserve"> </w:t>
      </w:r>
      <w:r>
        <w:rPr>
          <w:rFonts w:cs="Tahoma" w:ascii="Tahoma" w:hAnsi="Tahoma"/>
          <w:b/>
          <w:bCs/>
          <w:sz w:val="22"/>
          <w:szCs w:val="22"/>
        </w:rPr>
        <w:t>firma</w:t>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t>se sídlem:</w:t>
        <w:tab/>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t>zastoupena:</w:t>
        <w:tab/>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t>IČO:</w:t>
        <w:tab/>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t>DIČ:</w:t>
        <w:tab/>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t>bankovní spojení:</w:t>
        <w:tab/>
      </w:r>
    </w:p>
    <w:p>
      <w:pPr>
        <w:pStyle w:val="Normal"/>
        <w:numPr>
          <w:ilvl w:val="0"/>
          <w:numId w:val="0"/>
        </w:numPr>
        <w:tabs>
          <w:tab w:val="clear" w:pos="709"/>
          <w:tab w:val="left" w:pos="2835" w:leader="none"/>
        </w:tabs>
        <w:ind w:hanging="0" w:left="357"/>
        <w:jc w:val="both"/>
        <w:rPr>
          <w:rFonts w:ascii="Tahoma" w:hAnsi="Tahoma" w:cs="Tahoma"/>
          <w:sz w:val="22"/>
          <w:szCs w:val="22"/>
        </w:rPr>
      </w:pPr>
      <w:r>
        <w:rPr>
          <w:rFonts w:cs="Tahoma" w:ascii="Tahoma" w:hAnsi="Tahoma"/>
          <w:sz w:val="22"/>
          <w:szCs w:val="22"/>
        </w:rPr>
        <w:t>číslo účtu:</w:t>
        <w:tab/>
      </w:r>
    </w:p>
    <w:p>
      <w:pPr>
        <w:pStyle w:val="Normal"/>
        <w:spacing w:before="120" w:after="0"/>
        <w:ind w:left="357"/>
        <w:jc w:val="both"/>
        <w:rPr>
          <w:rFonts w:ascii="Tahoma" w:hAnsi="Tahoma" w:cs="Tahoma"/>
          <w:sz w:val="22"/>
          <w:szCs w:val="22"/>
        </w:rPr>
      </w:pPr>
      <w:r>
        <w:rPr>
          <w:rFonts w:cs="Tahoma" w:ascii="Tahoma" w:hAnsi="Tahoma"/>
          <w:sz w:val="22"/>
          <w:szCs w:val="22"/>
        </w:rPr>
        <w:t>Zapsána v obchodním rejstříku vedeném ……………… soudem v ……………, sp. zn. …</w:t>
      </w:r>
    </w:p>
    <w:p>
      <w:pPr>
        <w:pStyle w:val="Normal"/>
        <w:spacing w:before="120" w:after="0"/>
        <w:ind w:left="357"/>
        <w:jc w:val="both"/>
        <w:rPr>
          <w:rFonts w:ascii="Tahoma" w:hAnsi="Tahoma" w:cs="Tahoma"/>
          <w:sz w:val="22"/>
          <w:szCs w:val="22"/>
        </w:rPr>
      </w:pPr>
      <w:r>
        <w:rPr>
          <w:rFonts w:cs="Tahoma" w:ascii="Tahoma" w:hAnsi="Tahoma"/>
          <w:sz w:val="22"/>
          <w:szCs w:val="22"/>
        </w:rPr>
        <w:t>Osoba oprávněná jednat ve věcech technických a realizace:</w:t>
      </w:r>
    </w:p>
    <w:p>
      <w:pPr>
        <w:pStyle w:val="dajeOSmluvnStran"/>
        <w:numPr>
          <w:ilvl w:val="0"/>
          <w:numId w:val="0"/>
        </w:numPr>
        <w:spacing w:before="60" w:after="0"/>
        <w:ind w:hanging="0" w:left="357"/>
        <w:jc w:val="both"/>
        <w:rPr>
          <w:rFonts w:ascii="Tahoma" w:hAnsi="Tahoma" w:cs="Tahoma"/>
          <w:sz w:val="22"/>
          <w:szCs w:val="22"/>
        </w:rPr>
      </w:pPr>
      <w:r>
        <w:rPr>
          <w:rFonts w:cs="Tahoma" w:ascii="Tahoma" w:hAnsi="Tahoma"/>
          <w:sz w:val="22"/>
          <w:szCs w:val="22"/>
        </w:rPr>
        <w:t>……………………………………………</w:t>
      </w:r>
      <w:r>
        <w:rPr>
          <w:rFonts w:cs="Tahoma" w:ascii="Tahoma" w:hAnsi="Tahoma"/>
          <w:sz w:val="22"/>
          <w:szCs w:val="22"/>
        </w:rPr>
        <w:t>, tel.: ………………</w:t>
      </w:r>
    </w:p>
    <w:p>
      <w:pPr>
        <w:pStyle w:val="Normal"/>
        <w:spacing w:before="120" w:after="0"/>
        <w:ind w:left="357"/>
        <w:jc w:val="both"/>
        <w:rPr>
          <w:rFonts w:ascii="Tahoma" w:hAnsi="Tahoma" w:cs="Tahoma"/>
          <w:iCs/>
          <w:sz w:val="22"/>
          <w:szCs w:val="22"/>
        </w:rPr>
      </w:pPr>
      <w:r>
        <w:rPr>
          <w:rFonts w:cs="Tahoma" w:ascii="Tahoma" w:hAnsi="Tahoma"/>
          <w:iCs/>
          <w:sz w:val="22"/>
          <w:szCs w:val="22"/>
        </w:rPr>
        <w:t>(</w:t>
      </w:r>
      <w:r>
        <w:rPr>
          <w:rFonts w:cs="Tahoma" w:ascii="Tahoma" w:hAnsi="Tahoma"/>
          <w:sz w:val="22"/>
          <w:szCs w:val="22"/>
        </w:rPr>
        <w:t>dále</w:t>
      </w:r>
      <w:r>
        <w:rPr>
          <w:rFonts w:cs="Tahoma" w:ascii="Tahoma" w:hAnsi="Tahoma"/>
          <w:iCs/>
          <w:sz w:val="22"/>
          <w:szCs w:val="22"/>
        </w:rPr>
        <w:t xml:space="preserve"> jen „</w:t>
      </w:r>
      <w:r>
        <w:rPr>
          <w:rFonts w:cs="Tahoma" w:ascii="Tahoma" w:hAnsi="Tahoma"/>
          <w:b/>
          <w:iCs/>
          <w:sz w:val="22"/>
          <w:szCs w:val="22"/>
        </w:rPr>
        <w:t>zhotovitel</w:t>
      </w:r>
      <w:r>
        <w:rPr>
          <w:rFonts w:cs="Tahoma" w:ascii="Tahoma" w:hAnsi="Tahoma"/>
          <w:iCs/>
          <w:sz w:val="22"/>
          <w:szCs w:val="22"/>
        </w:rPr>
        <w:t>“)</w:t>
      </w:r>
    </w:p>
    <w:p>
      <w:pPr>
        <w:pStyle w:val="Normal"/>
        <w:spacing w:before="120" w:after="0"/>
        <w:ind w:left="426"/>
        <w:jc w:val="both"/>
        <w:rPr>
          <w:rFonts w:ascii="Tahoma" w:hAnsi="Tahoma" w:cs="Tahoma"/>
          <w:i/>
          <w:i/>
          <w:color w:val="FF0000"/>
          <w:sz w:val="22"/>
          <w:szCs w:val="22"/>
        </w:rPr>
      </w:pPr>
      <w:r>
        <w:rPr>
          <w:rFonts w:cs="Tahoma" w:ascii="Tahoma" w:hAnsi="Tahoma"/>
          <w:i/>
          <w:iCs/>
          <w:color w:val="FF0000"/>
          <w:sz w:val="22"/>
          <w:szCs w:val="22"/>
        </w:rPr>
        <w:t>Odst. 2 doplní účastník/zhotovitel - ú</w:t>
      </w:r>
      <w:r>
        <w:rPr>
          <w:rFonts w:cs="Tahoma" w:ascii="Tahoma" w:hAnsi="Tahoma"/>
          <w:i/>
          <w:color w:val="FF0000"/>
          <w:sz w:val="22"/>
          <w:szCs w:val="22"/>
        </w:rPr>
        <w:t>daje na řádcích 1-4 se vyplní dle výpisu z obchodního rejstříku. Pokud je zhotovitelem fyzická osoba – podnikatel nezapsaný v obchodním rejstříku, je třeba vypustit řádek „zastoupena:“ a místo řádku „zapsána v obchodním rejstříku…“ uvést údaj o zápisu do jiné evidence, ve které je daná osoba zapsána.</w:t>
      </w:r>
    </w:p>
    <w:p>
      <w:pPr>
        <w:pStyle w:val="Normal"/>
        <w:keepNext w:val="true"/>
        <w:spacing w:before="360" w:after="0"/>
        <w:jc w:val="center"/>
        <w:rPr>
          <w:rFonts w:ascii="Tahoma" w:hAnsi="Tahoma" w:cs="Tahoma"/>
          <w:b/>
          <w:sz w:val="22"/>
          <w:szCs w:val="22"/>
        </w:rPr>
      </w:pPr>
      <w:r>
        <w:rPr>
          <w:rFonts w:cs="Tahoma" w:ascii="Tahoma" w:hAnsi="Tahoma"/>
          <w:b/>
          <w:sz w:val="22"/>
          <w:szCs w:val="22"/>
        </w:rPr>
        <w:t>II.</w:t>
        <w:br/>
        <w:t>Základní ustanovení</w:t>
      </w:r>
    </w:p>
    <w:p>
      <w:pPr>
        <w:pStyle w:val="OdstavecSmlouvy"/>
        <w:keepLines w:val="false"/>
        <w:numPr>
          <w:ilvl w:val="0"/>
          <w:numId w:val="21"/>
        </w:numPr>
        <w:tabs>
          <w:tab w:val="clear" w:pos="426"/>
          <w:tab w:val="clear" w:pos="1701"/>
        </w:tabs>
        <w:spacing w:before="120" w:after="0"/>
        <w:ind w:hanging="357" w:left="357"/>
        <w:rPr>
          <w:rFonts w:ascii="Tahoma" w:hAnsi="Tahoma" w:cs="Tahoma"/>
          <w:caps/>
          <w:sz w:val="22"/>
          <w:szCs w:val="22"/>
        </w:rPr>
      </w:pPr>
      <w:r>
        <w:rPr>
          <w:rFonts w:cs="Tahoma" w:ascii="Tahoma" w:hAnsi="Tahoma"/>
          <w:sz w:val="22"/>
          <w:szCs w:val="22"/>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pPr>
        <w:pStyle w:val="OdstavecSmlouvy"/>
        <w:keepLines w:val="false"/>
        <w:numPr>
          <w:ilvl w:val="0"/>
          <w:numId w:val="21"/>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pPr>
        <w:pStyle w:val="OdstavecSmlouvy"/>
        <w:keepLines w:val="false"/>
        <w:numPr>
          <w:ilvl w:val="0"/>
          <w:numId w:val="21"/>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pPr>
        <w:pStyle w:val="OdstavecSmlouvy"/>
        <w:keepLines w:val="false"/>
        <w:numPr>
          <w:ilvl w:val="0"/>
          <w:numId w:val="21"/>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Smluvní strany prohlašují, že osoby podepisující tuto smlouvu jsou k tomuto jednání oprávněny.</w:t>
      </w:r>
    </w:p>
    <w:p>
      <w:pPr>
        <w:pStyle w:val="OdstavecSmlouvy"/>
        <w:keepLines w:val="false"/>
        <w:numPr>
          <w:ilvl w:val="0"/>
          <w:numId w:val="21"/>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Zhotovitel prohlašuje, že je odborně způsobilý k zajištění předmětu plnění podle této smlouvy.</w:t>
      </w:r>
    </w:p>
    <w:p>
      <w:pPr>
        <w:pStyle w:val="OdstavecSmlouvy"/>
        <w:keepLines w:val="false"/>
        <w:numPr>
          <w:ilvl w:val="0"/>
          <w:numId w:val="21"/>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pPr>
        <w:pStyle w:val="OdstavecSmlouvy"/>
        <w:keepLines w:val="false"/>
        <w:numPr>
          <w:ilvl w:val="0"/>
          <w:numId w:val="21"/>
        </w:numPr>
        <w:tabs>
          <w:tab w:val="clear" w:pos="426"/>
          <w:tab w:val="clear" w:pos="1701"/>
        </w:tabs>
        <w:spacing w:before="120" w:after="0"/>
        <w:ind w:hanging="357" w:left="357"/>
        <w:rPr>
          <w:rFonts w:ascii="Tahoma" w:hAnsi="Tahoma" w:cs="Tahoma"/>
          <w:sz w:val="22"/>
          <w:szCs w:val="22"/>
        </w:rPr>
      </w:pPr>
      <w:r>
        <w:rPr>
          <w:rFonts w:cs="Tahoma" w:ascii="Tahoma" w:hAnsi="Tahoma"/>
          <w:sz w:val="22"/>
          <w:szCs w:val="22"/>
        </w:rPr>
        <w:t>Smluvní strany prohlašují, že předmět plnění podle této smlouvy není plněním nemožným a že smlouvu uzavírají po pečlivém zvážení všech možných důsledků.</w:t>
      </w:r>
    </w:p>
    <w:p>
      <w:pPr>
        <w:pStyle w:val="Normal"/>
        <w:keepNext w:val="true"/>
        <w:spacing w:before="360" w:after="0"/>
        <w:jc w:val="center"/>
        <w:rPr>
          <w:rFonts w:ascii="Tahoma" w:hAnsi="Tahoma" w:cs="Tahoma"/>
          <w:b/>
          <w:sz w:val="22"/>
          <w:szCs w:val="22"/>
        </w:rPr>
      </w:pPr>
      <w:r>
        <w:rPr>
          <w:rFonts w:cs="Tahoma" w:ascii="Tahoma" w:hAnsi="Tahoma"/>
          <w:b/>
          <w:sz w:val="22"/>
          <w:szCs w:val="22"/>
        </w:rPr>
        <w:t>III.</w:t>
        <w:br/>
        <w:t>Předmět smlouvy</w:t>
      </w:r>
    </w:p>
    <w:p>
      <w:pPr>
        <w:pStyle w:val="Normal"/>
        <w:numPr>
          <w:ilvl w:val="0"/>
          <w:numId w:val="15"/>
        </w:numPr>
        <w:tabs>
          <w:tab w:val="clear" w:pos="709"/>
        </w:tabs>
        <w:spacing w:before="120" w:after="0"/>
        <w:jc w:val="both"/>
        <w:rPr>
          <w:rFonts w:ascii="Tahoma" w:hAnsi="Tahoma" w:cs="Tahoma"/>
          <w:sz w:val="22"/>
          <w:szCs w:val="22"/>
        </w:rPr>
      </w:pPr>
      <w:r>
        <w:rPr>
          <w:rFonts w:cs="Tahoma" w:ascii="Tahoma" w:hAnsi="Tahoma"/>
          <w:sz w:val="22"/>
          <w:szCs w:val="22"/>
        </w:rPr>
        <w:t>Zhotovitel se zavazuje provést pro objednatele na svůj náklad a nebezpečí dílo „Výměna pohonů požárního větrání Sportovní hala Žákovská“ (dále jen „dílo“) v rozsahu dle:</w:t>
      </w:r>
    </w:p>
    <w:p>
      <w:pPr>
        <w:pStyle w:val="Normal"/>
        <w:numPr>
          <w:ilvl w:val="0"/>
          <w:numId w:val="22"/>
        </w:numPr>
        <w:tabs>
          <w:tab w:val="clear" w:pos="709"/>
        </w:tabs>
        <w:spacing w:before="60" w:after="0"/>
        <w:ind w:hanging="283" w:left="709"/>
        <w:jc w:val="both"/>
        <w:rPr>
          <w:rFonts w:ascii="Tahoma" w:hAnsi="Tahoma" w:cs="Tahoma"/>
          <w:sz w:val="22"/>
          <w:szCs w:val="22"/>
        </w:rPr>
      </w:pPr>
      <w:r>
        <w:rPr>
          <w:rFonts w:cs="Tahoma" w:ascii="Tahoma" w:hAnsi="Tahoma"/>
          <w:iCs/>
          <w:sz w:val="22"/>
          <w:szCs w:val="22"/>
        </w:rPr>
        <w:t>technického řešení zpracovaného</w:t>
      </w:r>
      <w:r>
        <w:rPr>
          <w:rFonts w:cs="Tahoma" w:ascii="Tahoma" w:hAnsi="Tahoma"/>
          <w:sz w:val="22"/>
          <w:szCs w:val="22"/>
        </w:rPr>
        <w:t xml:space="preserve"> subjektem M3 konzult, s.r.o., Kalvodova 907/6, 709 00 Ostrava - Mariánské Hory, IČ: 277 88 504,</w:t>
      </w:r>
    </w:p>
    <w:p>
      <w:pPr>
        <w:pStyle w:val="Normal"/>
        <w:numPr>
          <w:ilvl w:val="0"/>
          <w:numId w:val="22"/>
        </w:numPr>
        <w:tabs>
          <w:tab w:val="clear" w:pos="709"/>
          <w:tab w:val="left" w:pos="714" w:leader="none"/>
        </w:tabs>
        <w:spacing w:before="60" w:after="0"/>
        <w:ind w:hanging="283" w:left="709"/>
        <w:jc w:val="both"/>
        <w:rPr>
          <w:rFonts w:ascii="Tahoma" w:hAnsi="Tahoma" w:cs="Tahoma"/>
          <w:sz w:val="22"/>
          <w:szCs w:val="22"/>
        </w:rPr>
      </w:pPr>
      <w:r>
        <w:rPr>
          <w:rFonts w:cs="Tahoma" w:ascii="Tahoma" w:hAnsi="Tahoma"/>
          <w:sz w:val="22"/>
          <w:szCs w:val="22"/>
        </w:rPr>
        <w:t>oceněného soupisu prací, dodávek a služeb, který je součástí nabídky zhotovitele podané v rámci veřejné zakázky na výběr zhotovitele díla dle této smlouvy (dále jen „soupis prací“),</w:t>
      </w:r>
    </w:p>
    <w:p>
      <w:pPr>
        <w:pStyle w:val="Normal"/>
        <w:numPr>
          <w:ilvl w:val="0"/>
          <w:numId w:val="22"/>
        </w:numPr>
        <w:tabs>
          <w:tab w:val="clear" w:pos="709"/>
          <w:tab w:val="left" w:pos="720" w:leader="none"/>
        </w:tabs>
        <w:spacing w:before="60" w:after="0"/>
        <w:ind w:hanging="357" w:left="714"/>
        <w:jc w:val="both"/>
        <w:rPr>
          <w:rFonts w:ascii="Tahoma" w:hAnsi="Tahoma" w:cs="Tahoma"/>
          <w:sz w:val="22"/>
          <w:szCs w:val="22"/>
        </w:rPr>
      </w:pPr>
      <w:r>
        <w:rPr>
          <w:rFonts w:cs="Tahoma" w:ascii="Tahoma" w:hAnsi="Tahoma"/>
          <w:sz w:val="22"/>
          <w:szCs w:val="22"/>
        </w:rPr>
        <w:t>platných právních předpisů upravujících provádění dodávky a instalace Výměna pohonů požárního větrání,</w:t>
      </w:r>
    </w:p>
    <w:p>
      <w:pPr>
        <w:pStyle w:val="Normal"/>
        <w:numPr>
          <w:ilvl w:val="0"/>
          <w:numId w:val="22"/>
        </w:numPr>
        <w:tabs>
          <w:tab w:val="clear" w:pos="709"/>
          <w:tab w:val="left" w:pos="720" w:leader="none"/>
        </w:tabs>
        <w:spacing w:before="60" w:after="0"/>
        <w:ind w:hanging="357" w:left="714"/>
        <w:jc w:val="both"/>
        <w:rPr>
          <w:rFonts w:ascii="Tahoma" w:hAnsi="Tahoma" w:cs="Tahoma"/>
          <w:sz w:val="22"/>
          <w:szCs w:val="22"/>
        </w:rPr>
      </w:pPr>
      <w:r>
        <w:rPr>
          <w:rFonts w:cs="Tahoma" w:ascii="Tahoma" w:hAnsi="Tahoma"/>
          <w:sz w:val="22"/>
          <w:szCs w:val="22"/>
        </w:rPr>
        <w:t>ustanovení této smlouvy a</w:t>
      </w:r>
    </w:p>
    <w:p>
      <w:pPr>
        <w:pStyle w:val="Normal"/>
        <w:spacing w:before="120" w:after="0"/>
        <w:ind w:left="357"/>
        <w:jc w:val="both"/>
        <w:rPr>
          <w:rFonts w:ascii="Tahoma" w:hAnsi="Tahoma" w:cs="Tahoma"/>
          <w:sz w:val="22"/>
          <w:szCs w:val="22"/>
        </w:rPr>
      </w:pPr>
      <w:r>
        <w:rPr>
          <w:rFonts w:cs="Tahoma" w:ascii="Tahoma" w:hAnsi="Tahoma"/>
          <w:sz w:val="22"/>
          <w:szCs w:val="22"/>
        </w:rPr>
        <w:t>(dále jen „dílo“).</w:t>
      </w:r>
    </w:p>
    <w:p>
      <w:pPr>
        <w:pStyle w:val="Normal"/>
        <w:numPr>
          <w:ilvl w:val="0"/>
          <w:numId w:val="15"/>
        </w:numPr>
        <w:tabs>
          <w:tab w:val="clear" w:pos="709"/>
        </w:tabs>
        <w:spacing w:before="120" w:after="0"/>
        <w:jc w:val="both"/>
        <w:rPr>
          <w:rFonts w:ascii="Tahoma" w:hAnsi="Tahoma" w:cs="Tahoma"/>
          <w:sz w:val="22"/>
          <w:szCs w:val="22"/>
        </w:rPr>
      </w:pPr>
      <w:r>
        <w:rPr>
          <w:rFonts w:cs="Tahoma" w:ascii="Tahoma" w:hAnsi="Tahoma"/>
          <w:sz w:val="22"/>
          <w:szCs w:val="22"/>
        </w:rPr>
        <w:t>Součástí díla je také:</w:t>
      </w:r>
    </w:p>
    <w:p>
      <w:pPr>
        <w:pStyle w:val="BodyText"/>
        <w:numPr>
          <w:ilvl w:val="0"/>
          <w:numId w:val="2"/>
        </w:numPr>
        <w:tabs>
          <w:tab w:val="clear" w:pos="540"/>
          <w:tab w:val="clear" w:pos="1260"/>
          <w:tab w:val="clear" w:pos="1980"/>
          <w:tab w:val="clear" w:pos="3960"/>
          <w:tab w:val="left" w:pos="714" w:leader="none"/>
        </w:tabs>
        <w:spacing w:before="60" w:after="0"/>
        <w:ind w:hanging="357" w:left="714"/>
        <w:rPr>
          <w:rFonts w:ascii="Tahoma" w:hAnsi="Tahoma" w:eastAsia="Tahoma" w:cs="Tahoma"/>
          <w:sz w:val="22"/>
          <w:szCs w:val="22"/>
        </w:rPr>
      </w:pPr>
      <w:r>
        <w:rPr>
          <w:rFonts w:cs="Tahoma" w:ascii="Tahoma" w:hAnsi="Tahoma"/>
          <w:sz w:val="22"/>
          <w:szCs w:val="22"/>
        </w:rPr>
        <w:t>zpracování dokumentace skutečného provedení díla ve třech vyhotoveních. Dokumentace skutečného provedení díla budou objednateli dodány také 2x v elektronické podobě, a to na elektronickém datovém nosiči ve formátu pro texty *.doc (*.rtf), pro tabulky *.xls, pro skenované dokumenty *.pdf, pro výkresovou dokumentaci *.dwg a zároveň *.pdf. Případné vícetisky budou účtovány zvlášť,</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předání odpadu k odstranění na řízenou skládku nebo jiný způsob jeho odstranění nebo využití v souladu se zákonem č. 541/2020 Sb., o odpadech, ve znění pozdějších předpisů (dále jen „zákon o odpadech“); o způsobu nakládání s odpadem bude předložen písemný doklad vystavený příslušnou oprávněnou osobou podle zákona o odpadech,</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 xml:space="preserve">předání všech dokladů a náležitostí umožňujících započít s trvalým užíváním, </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zřízení deponie materiálů na vymezených plochách tak, aby nevznikly žádné škody na sousedních pozemcích,</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provedení předepsaných zkoušek dle platných právních předpisů a technických norem, úspěšné provedení těchto zkoušek je podmínkou k převzetí díla,</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zajištění ochrany proti šíření prašnosti a nadměrného hluku,</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provedení veškerých doplňujících průzkumů souvisejících s provedením díla,</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zajištění zpracování všech případných dalších dokumentací potřebných pro provedení díla (jako je např. výrobní a realizační dodavatelská dokumentace),</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 xml:space="preserve">provedení úklidu vnějších a vnitřních ploch dotčených prováděním díla, </w:t>
      </w:r>
    </w:p>
    <w:p>
      <w:pPr>
        <w:pStyle w:val="BodyText"/>
        <w:numPr>
          <w:ilvl w:val="0"/>
          <w:numId w:val="2"/>
        </w:numPr>
        <w:tabs>
          <w:tab w:val="clear" w:pos="540"/>
          <w:tab w:val="clear" w:pos="1260"/>
          <w:tab w:val="clear" w:pos="1980"/>
          <w:tab w:val="clear" w:pos="3960"/>
          <w:tab w:val="left" w:pos="709" w:leader="none"/>
        </w:tabs>
        <w:spacing w:before="60" w:after="0"/>
        <w:ind w:hanging="357" w:left="714"/>
        <w:rPr>
          <w:rFonts w:ascii="Tahoma" w:hAnsi="Tahoma" w:cs="Tahoma"/>
          <w:sz w:val="22"/>
          <w:szCs w:val="22"/>
        </w:rPr>
      </w:pPr>
      <w:r>
        <w:rPr>
          <w:rFonts w:cs="Tahoma" w:ascii="Tahoma" w:hAnsi="Tahoma"/>
          <w:sz w:val="22"/>
          <w:szCs w:val="22"/>
        </w:rPr>
        <w:t>provádění servisních prací na zařízení po dobu min. 5 let po předání díla.</w:t>
      </w:r>
    </w:p>
    <w:p>
      <w:pPr>
        <w:pStyle w:val="Normal"/>
        <w:numPr>
          <w:ilvl w:val="0"/>
          <w:numId w:val="15"/>
        </w:numPr>
        <w:tabs>
          <w:tab w:val="clear" w:pos="709"/>
        </w:tabs>
        <w:spacing w:before="120" w:after="0"/>
        <w:jc w:val="both"/>
        <w:rPr>
          <w:rFonts w:ascii="Tahoma" w:hAnsi="Tahoma" w:cs="Tahoma"/>
          <w:sz w:val="22"/>
          <w:szCs w:val="22"/>
        </w:rPr>
      </w:pPr>
      <w:r>
        <w:rPr>
          <w:rFonts w:cs="Tahoma" w:ascii="Tahoma" w:hAnsi="Tahoma"/>
          <w:sz w:val="22"/>
          <w:szCs w:val="22"/>
        </w:rPr>
        <w:t>Zhotovitel je povinen při provádění díla zejména:</w:t>
      </w:r>
    </w:p>
    <w:p>
      <w:pPr>
        <w:pStyle w:val="BodyText"/>
        <w:numPr>
          <w:ilvl w:val="0"/>
          <w:numId w:val="23"/>
        </w:numPr>
        <w:tabs>
          <w:tab w:val="clear" w:pos="540"/>
          <w:tab w:val="clear" w:pos="1260"/>
          <w:tab w:val="clear" w:pos="1980"/>
          <w:tab w:val="clear" w:pos="3960"/>
          <w:tab w:val="left" w:pos="714" w:leader="none"/>
        </w:tabs>
        <w:spacing w:before="60" w:after="0"/>
        <w:ind w:hanging="357" w:left="714"/>
        <w:rPr>
          <w:rFonts w:ascii="Tahoma" w:hAnsi="Tahoma" w:cs="Tahoma"/>
          <w:sz w:val="22"/>
          <w:szCs w:val="22"/>
        </w:rPr>
      </w:pPr>
      <w:r>
        <w:rPr>
          <w:rFonts w:cs="Tahoma" w:ascii="Tahoma" w:hAnsi="Tahoma"/>
          <w:sz w:val="22"/>
          <w:szCs w:val="22"/>
        </w:rPr>
        <w:t>plnit podmínky příslušných rozhodnutí nebo opatření úřadů a požadavky dotčených orgánů a organizací související s realizací díla,</w:t>
      </w:r>
    </w:p>
    <w:p>
      <w:pPr>
        <w:pStyle w:val="BodyText"/>
        <w:numPr>
          <w:ilvl w:val="0"/>
          <w:numId w:val="23"/>
        </w:numPr>
        <w:tabs>
          <w:tab w:val="clear" w:pos="540"/>
          <w:tab w:val="clear" w:pos="1260"/>
          <w:tab w:val="clear" w:pos="1980"/>
          <w:tab w:val="clear" w:pos="3960"/>
          <w:tab w:val="left" w:pos="714" w:leader="none"/>
        </w:tabs>
        <w:spacing w:before="60" w:after="0"/>
        <w:ind w:hanging="357" w:left="714"/>
        <w:rPr>
          <w:rFonts w:ascii="Tahoma" w:hAnsi="Tahoma" w:cs="Tahoma"/>
          <w:sz w:val="22"/>
          <w:szCs w:val="22"/>
        </w:rPr>
      </w:pPr>
      <w:r>
        <w:rPr>
          <w:rFonts w:cs="Tahoma" w:ascii="Tahoma" w:hAnsi="Tahoma"/>
          <w:sz w:val="22"/>
          <w:szCs w:val="22"/>
        </w:rPr>
        <w:t>zohlednit vyjádření dotčených orgánů a organizací související s realizací díla.</w:t>
      </w:r>
    </w:p>
    <w:p>
      <w:pPr>
        <w:pStyle w:val="Normal"/>
        <w:numPr>
          <w:ilvl w:val="0"/>
          <w:numId w:val="15"/>
        </w:numPr>
        <w:tabs>
          <w:tab w:val="clear" w:pos="709"/>
        </w:tabs>
        <w:spacing w:before="120" w:after="0"/>
        <w:jc w:val="both"/>
        <w:rPr>
          <w:rFonts w:ascii="Tahoma" w:hAnsi="Tahoma" w:cs="Tahoma"/>
          <w:sz w:val="22"/>
          <w:szCs w:val="22"/>
        </w:rPr>
      </w:pPr>
      <w:r>
        <w:rPr>
          <w:rFonts w:cs="Tahoma" w:ascii="Tahoma" w:hAnsi="Tahoma"/>
          <w:sz w:val="22"/>
          <w:szCs w:val="22"/>
        </w:rPr>
        <w:t>Zhotovitel se zavazuje provést dílo v souladu s technickými a právními předpisy platnými v České republice v době provádění díla. Pro provedení díla jsou závazné všechny platné normy ČSN.</w:t>
      </w:r>
    </w:p>
    <w:p>
      <w:pPr>
        <w:pStyle w:val="Normal"/>
        <w:numPr>
          <w:ilvl w:val="0"/>
          <w:numId w:val="15"/>
        </w:numPr>
        <w:tabs>
          <w:tab w:val="clear" w:pos="709"/>
        </w:tabs>
        <w:spacing w:before="120" w:after="0"/>
        <w:jc w:val="both"/>
        <w:rPr>
          <w:rFonts w:ascii="Tahoma" w:hAnsi="Tahoma" w:cs="Tahoma"/>
          <w:sz w:val="22"/>
          <w:szCs w:val="22"/>
        </w:rPr>
      </w:pPr>
      <w:r>
        <w:rPr>
          <w:rFonts w:cs="Tahoma" w:ascii="Tahoma" w:hAnsi="Tahoma"/>
          <w:sz w:val="22"/>
          <w:szCs w:val="22"/>
        </w:rPr>
        <w:t>Zhotovitel se zavazuje průběžně provádět veškeré potřebné zkoušky, měření a atesty k prokázání kvalitativních parametrů předmětu díla.</w:t>
      </w:r>
    </w:p>
    <w:p>
      <w:pPr>
        <w:pStyle w:val="Normal"/>
        <w:numPr>
          <w:ilvl w:val="0"/>
          <w:numId w:val="15"/>
        </w:numPr>
        <w:tabs>
          <w:tab w:val="clear" w:pos="709"/>
        </w:tabs>
        <w:spacing w:before="120" w:after="0"/>
        <w:jc w:val="both"/>
        <w:rPr>
          <w:rFonts w:ascii="Tahoma" w:hAnsi="Tahoma" w:cs="Tahoma"/>
          <w:sz w:val="22"/>
          <w:szCs w:val="22"/>
        </w:rPr>
      </w:pPr>
      <w:r>
        <w:rPr>
          <w:rFonts w:cs="Tahoma" w:ascii="Tahoma" w:hAnsi="Tahoma"/>
          <w:sz w:val="22"/>
          <w:szCs w:val="22"/>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pPr>
        <w:pStyle w:val="Normal"/>
        <w:numPr>
          <w:ilvl w:val="0"/>
          <w:numId w:val="15"/>
        </w:numPr>
        <w:tabs>
          <w:tab w:val="clear" w:pos="709"/>
        </w:tabs>
        <w:spacing w:before="120" w:after="0"/>
        <w:jc w:val="both"/>
        <w:rPr>
          <w:rFonts w:ascii="Tahoma" w:hAnsi="Tahoma" w:cs="Tahoma"/>
          <w:sz w:val="22"/>
          <w:szCs w:val="22"/>
        </w:rPr>
      </w:pPr>
      <w:r>
        <w:rPr>
          <w:rFonts w:cs="Tahoma" w:ascii="Tahoma" w:hAnsi="Tahoma"/>
          <w:sz w:val="22"/>
          <w:szCs w:val="22"/>
        </w:rPr>
        <w:t>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pPr>
        <w:pStyle w:val="Normal"/>
        <w:keepNext w:val="true"/>
        <w:spacing w:before="360" w:after="0"/>
        <w:jc w:val="center"/>
        <w:rPr>
          <w:rFonts w:ascii="Tahoma" w:hAnsi="Tahoma" w:cs="Tahoma"/>
          <w:b/>
          <w:sz w:val="22"/>
          <w:szCs w:val="22"/>
        </w:rPr>
      </w:pPr>
      <w:r>
        <w:rPr>
          <w:rFonts w:cs="Tahoma" w:ascii="Tahoma" w:hAnsi="Tahoma"/>
          <w:b/>
          <w:sz w:val="22"/>
          <w:szCs w:val="22"/>
        </w:rPr>
        <w:t>IV.</w:t>
        <w:br/>
        <w:t>Doba a místo plnění</w:t>
      </w:r>
    </w:p>
    <w:p>
      <w:pPr>
        <w:pStyle w:val="Normal"/>
        <w:widowControl w:val="false"/>
        <w:numPr>
          <w:ilvl w:val="0"/>
          <w:numId w:val="16"/>
        </w:numPr>
        <w:tabs>
          <w:tab w:val="clear" w:pos="709"/>
        </w:tabs>
        <w:spacing w:before="120" w:after="0"/>
        <w:ind w:hanging="357" w:left="357"/>
        <w:jc w:val="both"/>
        <w:rPr>
          <w:rFonts w:ascii="Tahoma" w:hAnsi="Tahoma" w:cs="Tahoma"/>
          <w:iCs/>
          <w:sz w:val="22"/>
          <w:szCs w:val="22"/>
        </w:rPr>
      </w:pPr>
      <w:r>
        <w:rPr>
          <w:rFonts w:cs="Tahoma" w:ascii="Tahoma" w:hAnsi="Tahoma"/>
          <w:bCs/>
          <w:sz w:val="22"/>
          <w:szCs w:val="22"/>
        </w:rPr>
        <w:t>Zhotov</w:t>
      </w:r>
      <w:r>
        <w:rPr>
          <w:rFonts w:cs="Tahoma" w:ascii="Tahoma" w:hAnsi="Tahoma"/>
          <w:sz w:val="22"/>
          <w:szCs w:val="22"/>
        </w:rPr>
        <w:t>itel</w:t>
      </w:r>
      <w:r>
        <w:rPr>
          <w:rFonts w:cs="Tahoma" w:ascii="Tahoma" w:hAnsi="Tahoma"/>
          <w:b/>
          <w:sz w:val="22"/>
          <w:szCs w:val="22"/>
        </w:rPr>
        <w:t xml:space="preserve"> </w:t>
      </w:r>
      <w:r>
        <w:rPr>
          <w:rFonts w:cs="Tahoma" w:ascii="Tahoma" w:hAnsi="Tahoma"/>
          <w:sz w:val="22"/>
          <w:szCs w:val="22"/>
        </w:rPr>
        <w:t>se zavazuje provést dílo do </w:t>
      </w:r>
      <w:r>
        <w:rPr>
          <w:rFonts w:cs="Tahoma" w:ascii="Tahoma" w:hAnsi="Tahoma"/>
          <w:sz w:val="22"/>
          <w:szCs w:val="22"/>
        </w:rPr>
        <w:t>31. 12. 2024</w:t>
      </w:r>
      <w:r>
        <w:rPr>
          <w:rFonts w:cs="Tahoma" w:ascii="Tahoma" w:hAnsi="Tahoma"/>
          <w:sz w:val="22"/>
          <w:szCs w:val="22"/>
        </w:rPr>
        <w:t>. Dílo je provedeno, je</w:t>
        <w:noBreakHyphen/>
        <w:t xml:space="preserve">li dokončeno (tj. objednateli je předvedena způsobilost díla sloužit svému účelu) a předáno objednateli. </w:t>
      </w:r>
    </w:p>
    <w:p>
      <w:pPr>
        <w:pStyle w:val="Normal"/>
        <w:widowControl w:val="false"/>
        <w:numPr>
          <w:ilvl w:val="0"/>
          <w:numId w:val="16"/>
        </w:numPr>
        <w:tabs>
          <w:tab w:val="clear" w:pos="709"/>
        </w:tabs>
        <w:spacing w:before="120" w:after="0"/>
        <w:ind w:hanging="357" w:left="357"/>
        <w:jc w:val="both"/>
        <w:rPr>
          <w:rFonts w:ascii="Tahoma" w:hAnsi="Tahoma" w:cs="Tahoma"/>
          <w:bCs/>
          <w:sz w:val="22"/>
          <w:szCs w:val="22"/>
        </w:rPr>
      </w:pPr>
      <w:r>
        <w:rPr>
          <w:rFonts w:cs="Tahoma" w:ascii="Tahoma" w:hAnsi="Tahoma"/>
          <w:bCs/>
          <w:sz w:val="22"/>
          <w:szCs w:val="22"/>
        </w:rPr>
        <w:t>Místem plnění je budova Sportovní haly na ul. Žákovská, Komunardů 1548/1, 736 01 Havířov-Město.</w:t>
      </w:r>
    </w:p>
    <w:p>
      <w:pPr>
        <w:pStyle w:val="Normal"/>
        <w:keepNext w:val="true"/>
        <w:spacing w:before="360" w:after="0"/>
        <w:jc w:val="center"/>
        <w:rPr>
          <w:rFonts w:ascii="Tahoma" w:hAnsi="Tahoma" w:cs="Tahoma"/>
          <w:b/>
          <w:sz w:val="22"/>
          <w:szCs w:val="22"/>
        </w:rPr>
      </w:pPr>
      <w:r>
        <w:rPr>
          <w:rFonts w:cs="Tahoma" w:ascii="Tahoma" w:hAnsi="Tahoma"/>
          <w:b/>
          <w:sz w:val="22"/>
          <w:szCs w:val="22"/>
        </w:rPr>
        <w:t>V.</w:t>
        <w:br/>
        <w:t>Cena za dílo</w:t>
      </w:r>
    </w:p>
    <w:p>
      <w:pPr>
        <w:pStyle w:val="Normal"/>
        <w:numPr>
          <w:ilvl w:val="0"/>
          <w:numId w:val="17"/>
        </w:numPr>
        <w:tabs>
          <w:tab w:val="clear" w:pos="709"/>
        </w:tabs>
        <w:spacing w:before="120" w:after="240"/>
        <w:ind w:hanging="357" w:left="357"/>
        <w:jc w:val="both"/>
        <w:rPr>
          <w:rFonts w:ascii="Tahoma" w:hAnsi="Tahoma" w:cs="Tahoma"/>
          <w:sz w:val="22"/>
          <w:szCs w:val="22"/>
        </w:rPr>
      </w:pPr>
      <w:r>
        <w:rPr>
          <w:rFonts w:cs="Tahoma" w:ascii="Tahoma" w:hAnsi="Tahoma"/>
          <w:sz w:val="22"/>
          <w:szCs w:val="22"/>
        </w:rPr>
        <w:t>Cena za provedené dílo je stanovena dohodou smluvních stran a činí:</w:t>
      </w:r>
    </w:p>
    <w:p>
      <w:pPr>
        <w:pStyle w:val="ListParagraph"/>
        <w:tabs>
          <w:tab w:val="clear" w:pos="709"/>
          <w:tab w:val="left" w:pos="3402" w:leader="none"/>
        </w:tabs>
        <w:spacing w:before="120" w:after="0"/>
        <w:ind w:left="397"/>
        <w:contextualSpacing/>
        <w:jc w:val="both"/>
        <w:rPr>
          <w:rFonts w:ascii="Tahoma" w:hAnsi="Tahoma" w:cs="Tahoma"/>
          <w:sz w:val="22"/>
          <w:szCs w:val="22"/>
        </w:rPr>
      </w:pPr>
      <w:r>
        <w:rPr>
          <w:rFonts w:cs="Tahoma" w:ascii="Tahoma" w:hAnsi="Tahoma"/>
          <w:sz w:val="22"/>
          <w:szCs w:val="22"/>
        </w:rPr>
        <w:t xml:space="preserve">Výměna pohonů požárního větrání </w:t>
      </w:r>
    </w:p>
    <w:p>
      <w:pPr>
        <w:pStyle w:val="ListParagraph"/>
        <w:tabs>
          <w:tab w:val="clear" w:pos="709"/>
          <w:tab w:val="left" w:pos="3402" w:leader="none"/>
        </w:tabs>
        <w:spacing w:before="120" w:after="0"/>
        <w:ind w:left="397"/>
        <w:contextualSpacing/>
        <w:jc w:val="both"/>
        <w:rPr>
          <w:rFonts w:ascii="Tahoma" w:hAnsi="Tahoma" w:cs="Tahoma"/>
          <w:b/>
          <w:sz w:val="22"/>
          <w:szCs w:val="22"/>
        </w:rPr>
      </w:pPr>
      <w:r>
        <w:rPr>
          <w:rFonts w:cs="Tahoma" w:ascii="Tahoma" w:hAnsi="Tahoma"/>
          <w:sz w:val="22"/>
          <w:szCs w:val="22"/>
        </w:rPr>
        <w:t>Cena bez DPH</w:t>
        <w:tab/>
        <w:t>………………</w:t>
      </w:r>
      <w:r>
        <w:rPr>
          <w:rFonts w:cs="Tahoma" w:ascii="Tahoma" w:hAnsi="Tahoma"/>
          <w:b/>
          <w:sz w:val="22"/>
          <w:szCs w:val="22"/>
        </w:rPr>
        <w:t> Kč</w:t>
      </w:r>
    </w:p>
    <w:p>
      <w:pPr>
        <w:pStyle w:val="ListParagraph"/>
        <w:tabs>
          <w:tab w:val="clear" w:pos="709"/>
          <w:tab w:val="left" w:pos="3402" w:leader="none"/>
        </w:tabs>
        <w:spacing w:before="120" w:after="0"/>
        <w:ind w:left="397"/>
        <w:contextualSpacing/>
        <w:jc w:val="both"/>
        <w:rPr>
          <w:rFonts w:ascii="Tahoma" w:hAnsi="Tahoma" w:cs="Tahoma"/>
          <w:b/>
          <w:sz w:val="22"/>
          <w:szCs w:val="22"/>
        </w:rPr>
      </w:pPr>
      <w:r>
        <w:rPr>
          <w:rFonts w:cs="Tahoma" w:ascii="Tahoma" w:hAnsi="Tahoma"/>
          <w:sz w:val="22"/>
          <w:szCs w:val="22"/>
        </w:rPr>
        <w:t>DPH</w:t>
        <w:tab/>
        <w:t>………………</w:t>
      </w:r>
      <w:r>
        <w:rPr>
          <w:rFonts w:cs="Tahoma" w:ascii="Tahoma" w:hAnsi="Tahoma"/>
          <w:b/>
          <w:sz w:val="22"/>
          <w:szCs w:val="22"/>
        </w:rPr>
        <w:t> Kč</w:t>
      </w:r>
    </w:p>
    <w:p>
      <w:pPr>
        <w:pStyle w:val="ListParagraph"/>
        <w:tabs>
          <w:tab w:val="clear" w:pos="709"/>
          <w:tab w:val="left" w:pos="3402" w:leader="none"/>
        </w:tabs>
        <w:spacing w:before="120" w:after="0"/>
        <w:ind w:left="397"/>
        <w:contextualSpacing/>
        <w:jc w:val="both"/>
        <w:rPr>
          <w:rFonts w:ascii="Tahoma" w:hAnsi="Tahoma" w:cs="Tahoma"/>
          <w:b/>
          <w:sz w:val="22"/>
          <w:szCs w:val="22"/>
        </w:rPr>
      </w:pPr>
      <w:r>
        <w:rPr>
          <w:rFonts w:cs="Tahoma" w:ascii="Tahoma" w:hAnsi="Tahoma"/>
          <w:sz w:val="22"/>
          <w:szCs w:val="22"/>
        </w:rPr>
        <w:t>Cena vč. DPH</w:t>
        <w:tab/>
        <w:t>………………</w:t>
      </w:r>
      <w:r>
        <w:rPr>
          <w:rFonts w:cs="Tahoma" w:ascii="Tahoma" w:hAnsi="Tahoma"/>
          <w:b/>
          <w:sz w:val="22"/>
          <w:szCs w:val="22"/>
        </w:rPr>
        <w:t> Kč</w:t>
      </w:r>
    </w:p>
    <w:p>
      <w:pPr>
        <w:pStyle w:val="ListParagraph"/>
        <w:tabs>
          <w:tab w:val="clear" w:pos="709"/>
          <w:tab w:val="left" w:pos="3402" w:leader="none"/>
        </w:tabs>
        <w:spacing w:before="120" w:after="0"/>
        <w:ind w:left="397"/>
        <w:contextualSpacing/>
        <w:jc w:val="both"/>
        <w:rPr>
          <w:rFonts w:ascii="Tahoma" w:hAnsi="Tahoma" w:cs="Tahoma"/>
          <w:b/>
          <w:sz w:val="22"/>
          <w:szCs w:val="22"/>
        </w:rPr>
      </w:pPr>
      <w:r>
        <w:rPr>
          <w:rFonts w:cs="Tahoma" w:ascii="Tahoma" w:hAnsi="Tahoma"/>
          <w:b/>
          <w:sz w:val="22"/>
          <w:szCs w:val="22"/>
        </w:rPr>
      </w:r>
    </w:p>
    <w:p>
      <w:pPr>
        <w:pStyle w:val="ListParagraph"/>
        <w:tabs>
          <w:tab w:val="clear" w:pos="709"/>
          <w:tab w:val="left" w:pos="3402" w:leader="none"/>
        </w:tabs>
        <w:spacing w:before="120" w:after="0"/>
        <w:ind w:left="397"/>
        <w:contextualSpacing/>
        <w:jc w:val="both"/>
        <w:rPr>
          <w:rFonts w:ascii="Tahoma" w:hAnsi="Tahoma" w:cs="Tahoma"/>
          <w:sz w:val="22"/>
          <w:szCs w:val="22"/>
        </w:rPr>
      </w:pPr>
      <w:r>
        <w:rPr>
          <w:rFonts w:cs="Tahoma" w:ascii="Tahoma" w:hAnsi="Tahoma"/>
          <w:sz w:val="22"/>
          <w:szCs w:val="22"/>
        </w:rPr>
        <w:t>Náklady servisu vč. náhradních dílů za 1 rok s platností ceny min. 5 let ode dne předání díla</w:t>
      </w:r>
    </w:p>
    <w:p>
      <w:pPr>
        <w:pStyle w:val="ListParagraph"/>
        <w:tabs>
          <w:tab w:val="clear" w:pos="709"/>
          <w:tab w:val="left" w:pos="3402" w:leader="none"/>
        </w:tabs>
        <w:spacing w:before="120" w:after="0"/>
        <w:ind w:left="397"/>
        <w:contextualSpacing/>
        <w:jc w:val="both"/>
        <w:rPr>
          <w:rFonts w:ascii="Tahoma" w:hAnsi="Tahoma" w:cs="Tahoma"/>
          <w:b/>
          <w:sz w:val="22"/>
          <w:szCs w:val="22"/>
        </w:rPr>
      </w:pPr>
      <w:r>
        <w:rPr>
          <w:rFonts w:cs="Tahoma" w:ascii="Tahoma" w:hAnsi="Tahoma"/>
          <w:sz w:val="22"/>
          <w:szCs w:val="22"/>
        </w:rPr>
        <w:t>Cena bez DPH</w:t>
        <w:tab/>
        <w:t>………………</w:t>
      </w:r>
      <w:r>
        <w:rPr>
          <w:rFonts w:cs="Tahoma" w:ascii="Tahoma" w:hAnsi="Tahoma"/>
          <w:b/>
          <w:sz w:val="22"/>
          <w:szCs w:val="22"/>
        </w:rPr>
        <w:t> Kč/rok</w:t>
      </w:r>
    </w:p>
    <w:p>
      <w:pPr>
        <w:pStyle w:val="ListParagraph"/>
        <w:tabs>
          <w:tab w:val="clear" w:pos="709"/>
          <w:tab w:val="left" w:pos="3402" w:leader="none"/>
        </w:tabs>
        <w:spacing w:before="120" w:after="0"/>
        <w:ind w:left="397"/>
        <w:contextualSpacing/>
        <w:jc w:val="both"/>
        <w:rPr>
          <w:rFonts w:ascii="Tahoma" w:hAnsi="Tahoma" w:cs="Tahoma"/>
          <w:b/>
          <w:sz w:val="22"/>
          <w:szCs w:val="22"/>
        </w:rPr>
      </w:pPr>
      <w:r>
        <w:rPr>
          <w:rFonts w:cs="Tahoma" w:ascii="Tahoma" w:hAnsi="Tahoma"/>
          <w:sz w:val="22"/>
          <w:szCs w:val="22"/>
        </w:rPr>
        <w:t>DPH</w:t>
        <w:tab/>
        <w:t>………………</w:t>
      </w:r>
      <w:r>
        <w:rPr>
          <w:rFonts w:cs="Tahoma" w:ascii="Tahoma" w:hAnsi="Tahoma"/>
          <w:b/>
          <w:sz w:val="22"/>
          <w:szCs w:val="22"/>
        </w:rPr>
        <w:t> Kč/rok</w:t>
      </w:r>
    </w:p>
    <w:p>
      <w:pPr>
        <w:pStyle w:val="ListParagraph"/>
        <w:tabs>
          <w:tab w:val="clear" w:pos="709"/>
          <w:tab w:val="left" w:pos="3402" w:leader="none"/>
        </w:tabs>
        <w:spacing w:before="120" w:after="0"/>
        <w:ind w:left="397"/>
        <w:contextualSpacing/>
        <w:jc w:val="both"/>
        <w:rPr>
          <w:rFonts w:ascii="Tahoma" w:hAnsi="Tahoma" w:cs="Tahoma"/>
          <w:b/>
          <w:sz w:val="22"/>
          <w:szCs w:val="22"/>
        </w:rPr>
      </w:pPr>
      <w:r>
        <w:rPr>
          <w:rFonts w:cs="Tahoma" w:ascii="Tahoma" w:hAnsi="Tahoma"/>
          <w:sz w:val="22"/>
          <w:szCs w:val="22"/>
        </w:rPr>
        <w:t>Cena vč. DPH</w:t>
        <w:tab/>
        <w:t>………………</w:t>
      </w:r>
      <w:r>
        <w:rPr>
          <w:rFonts w:cs="Tahoma" w:ascii="Tahoma" w:hAnsi="Tahoma"/>
          <w:b/>
          <w:sz w:val="22"/>
          <w:szCs w:val="22"/>
        </w:rPr>
        <w:t> Kč/rok</w:t>
      </w:r>
    </w:p>
    <w:p>
      <w:pPr>
        <w:pStyle w:val="ListParagraph"/>
        <w:tabs>
          <w:tab w:val="clear" w:pos="709"/>
          <w:tab w:val="left" w:pos="3402" w:leader="none"/>
        </w:tabs>
        <w:spacing w:before="120" w:after="0"/>
        <w:ind w:left="397"/>
        <w:contextualSpacing/>
        <w:jc w:val="both"/>
        <w:rPr>
          <w:rFonts w:ascii="Tahoma" w:hAnsi="Tahoma" w:cs="Tahoma"/>
          <w:b/>
          <w:sz w:val="22"/>
          <w:szCs w:val="22"/>
        </w:rPr>
      </w:pPr>
      <w:r>
        <w:rPr>
          <w:rFonts w:cs="Tahoma" w:ascii="Tahoma" w:hAnsi="Tahoma"/>
          <w:b/>
          <w:sz w:val="22"/>
          <w:szCs w:val="22"/>
        </w:rPr>
      </w:r>
    </w:p>
    <w:p>
      <w:pPr>
        <w:pStyle w:val="Normal"/>
        <w:numPr>
          <w:ilvl w:val="0"/>
          <w:numId w:val="17"/>
        </w:numPr>
        <w:tabs>
          <w:tab w:val="clear" w:pos="709"/>
        </w:tabs>
        <w:spacing w:before="120" w:after="0"/>
        <w:ind w:hanging="357" w:left="357"/>
        <w:jc w:val="both"/>
        <w:rPr>
          <w:rFonts w:ascii="Tahoma" w:hAnsi="Tahoma" w:cs="Tahoma"/>
          <w:sz w:val="22"/>
          <w:szCs w:val="22"/>
        </w:rPr>
      </w:pPr>
      <w:r>
        <w:rPr>
          <w:rFonts w:cs="Tahoma" w:ascii="Tahoma" w:hAnsi="Tahoma"/>
          <w:sz w:val="22"/>
          <w:szCs w:val="22"/>
        </w:rPr>
        <w:t>Součástí sjednané ceny jsou veškeré práce a dodávky, poplatky, náklady zhotovitele nutné pro vybudování, provoz a demontáž zařízení a jiné náklady nezbytné pro řádné a úplné provedení díla.</w:t>
      </w:r>
    </w:p>
    <w:p>
      <w:pPr>
        <w:pStyle w:val="Normal"/>
        <w:numPr>
          <w:ilvl w:val="0"/>
          <w:numId w:val="17"/>
        </w:numPr>
        <w:tabs>
          <w:tab w:val="clear" w:pos="709"/>
        </w:tabs>
        <w:spacing w:before="120" w:after="0"/>
        <w:ind w:hanging="357" w:left="357"/>
        <w:jc w:val="both"/>
        <w:rPr>
          <w:rFonts w:ascii="Tahoma" w:hAnsi="Tahoma" w:cs="Tahoma"/>
          <w:sz w:val="22"/>
          <w:szCs w:val="22"/>
        </w:rPr>
      </w:pPr>
      <w:r>
        <w:rPr>
          <w:rFonts w:cs="Tahoma" w:ascii="Tahoma" w:hAnsi="Tahoma"/>
          <w:sz w:val="22"/>
          <w:szCs w:val="22"/>
        </w:rPr>
        <w:t xml:space="preserve">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 </w:t>
      </w:r>
    </w:p>
    <w:p>
      <w:pPr>
        <w:pStyle w:val="Normal"/>
        <w:numPr>
          <w:ilvl w:val="0"/>
          <w:numId w:val="17"/>
        </w:numPr>
        <w:tabs>
          <w:tab w:val="clear" w:pos="709"/>
        </w:tabs>
        <w:spacing w:before="120" w:after="0"/>
        <w:ind w:hanging="357" w:left="357"/>
        <w:jc w:val="both"/>
        <w:rPr>
          <w:rFonts w:ascii="Tahoma" w:hAnsi="Tahoma" w:cs="Tahoma"/>
          <w:sz w:val="22"/>
          <w:szCs w:val="22"/>
        </w:rPr>
      </w:pPr>
      <w:r>
        <w:rPr>
          <w:rFonts w:cs="Tahoma" w:ascii="Tahoma" w:hAnsi="Tahoma"/>
          <w:sz w:val="22"/>
          <w:szCs w:val="22"/>
        </w:rPr>
        <w:t xml:space="preserve">Pro plnění dle této smlouvy bude uplatněna přenesená daňová povinnost podle § 92a zákona o DPH, proto bude cena díla fakturována bez DPH a uvedena příslušná sazba DPH, kterou odvádí objednatel. </w:t>
      </w:r>
    </w:p>
    <w:p>
      <w:pPr>
        <w:pStyle w:val="Normal"/>
        <w:keepNext w:val="true"/>
        <w:spacing w:before="360" w:after="0"/>
        <w:jc w:val="center"/>
        <w:rPr>
          <w:rFonts w:ascii="Tahoma" w:hAnsi="Tahoma" w:cs="Tahoma"/>
          <w:b/>
          <w:sz w:val="22"/>
          <w:szCs w:val="22"/>
        </w:rPr>
      </w:pPr>
      <w:r>
        <w:rPr>
          <w:rFonts w:cs="Tahoma" w:ascii="Tahoma" w:hAnsi="Tahoma"/>
          <w:b/>
          <w:sz w:val="22"/>
          <w:szCs w:val="22"/>
        </w:rPr>
        <w:t>VI.</w:t>
        <w:br/>
        <w:t>Platební podmínky</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Zálohy na platby nejsou sjednány.</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Podkladem pro úhradu ceny za dílo budou faktury, které budou mít náležitosti daňového dokladu a náležitosti stanovené dalšími obecně závaznými právními předpisy (dále jen „faktura“). Kromě náležitostí stanovených platnými právními předpisy pro daňový doklad bude zhotovitel povinen ve faktuře uvést i tyto údaje:</w:t>
      </w:r>
    </w:p>
    <w:p>
      <w:pPr>
        <w:pStyle w:val="Normal"/>
        <w:widowControl w:val="false"/>
        <w:numPr>
          <w:ilvl w:val="2"/>
          <w:numId w:val="4"/>
        </w:numPr>
        <w:tabs>
          <w:tab w:val="clear" w:pos="709"/>
          <w:tab w:val="left" w:pos="714" w:leader="none"/>
        </w:tabs>
        <w:snapToGrid w:val="false"/>
        <w:spacing w:before="60" w:after="0"/>
        <w:ind w:hanging="357" w:left="714"/>
        <w:jc w:val="both"/>
        <w:rPr>
          <w:rFonts w:ascii="Tahoma" w:hAnsi="Tahoma" w:cs="Tahoma"/>
          <w:sz w:val="22"/>
          <w:szCs w:val="22"/>
        </w:rPr>
      </w:pPr>
      <w:r>
        <w:rPr>
          <w:rFonts w:cs="Tahoma" w:ascii="Tahoma" w:hAnsi="Tahoma"/>
          <w:sz w:val="22"/>
          <w:szCs w:val="22"/>
        </w:rPr>
        <w:t>číslo smlouvy objednatele, IČO objednatele,</w:t>
      </w:r>
    </w:p>
    <w:p>
      <w:pPr>
        <w:pStyle w:val="Normal"/>
        <w:widowControl w:val="false"/>
        <w:numPr>
          <w:ilvl w:val="2"/>
          <w:numId w:val="4"/>
        </w:numPr>
        <w:tabs>
          <w:tab w:val="clear" w:pos="709"/>
          <w:tab w:val="left" w:pos="714" w:leader="none"/>
        </w:tabs>
        <w:snapToGrid w:val="false"/>
        <w:spacing w:before="60" w:after="0"/>
        <w:ind w:hanging="357" w:left="714"/>
        <w:jc w:val="both"/>
        <w:rPr>
          <w:rFonts w:ascii="Tahoma" w:hAnsi="Tahoma" w:cs="Tahoma"/>
          <w:sz w:val="22"/>
          <w:szCs w:val="22"/>
        </w:rPr>
      </w:pPr>
      <w:r>
        <w:rPr>
          <w:rFonts w:cs="Tahoma" w:ascii="Tahoma" w:hAnsi="Tahoma"/>
          <w:sz w:val="22"/>
          <w:szCs w:val="22"/>
        </w:rPr>
        <w:t xml:space="preserve">předmět smlouvy, tj. text „zhotovení díla - Výměna pohonů požárního větrání Sportovní hala Žákovská“, </w:t>
      </w:r>
    </w:p>
    <w:p>
      <w:pPr>
        <w:pStyle w:val="Normal"/>
        <w:widowControl w:val="false"/>
        <w:numPr>
          <w:ilvl w:val="2"/>
          <w:numId w:val="4"/>
        </w:numPr>
        <w:tabs>
          <w:tab w:val="left" w:pos="709" w:leader="none"/>
        </w:tabs>
        <w:snapToGrid w:val="false"/>
        <w:spacing w:before="60" w:after="0"/>
        <w:ind w:hanging="357" w:left="714"/>
        <w:jc w:val="both"/>
        <w:rPr>
          <w:rFonts w:ascii="Tahoma" w:hAnsi="Tahoma" w:cs="Tahoma"/>
          <w:sz w:val="22"/>
          <w:szCs w:val="22"/>
        </w:rPr>
      </w:pPr>
      <w:r>
        <w:rPr>
          <w:rFonts w:cs="Tahoma" w:ascii="Tahoma" w:hAnsi="Tahoma"/>
          <w:sz w:val="22"/>
          <w:szCs w:val="22"/>
        </w:rPr>
        <w:t>označení banky a číslo zveřejněného účtu, na který musí být zaplaceno,</w:t>
      </w:r>
    </w:p>
    <w:p>
      <w:pPr>
        <w:pStyle w:val="Normal"/>
        <w:widowControl w:val="false"/>
        <w:numPr>
          <w:ilvl w:val="2"/>
          <w:numId w:val="4"/>
        </w:numPr>
        <w:tabs>
          <w:tab w:val="left" w:pos="709" w:leader="none"/>
        </w:tabs>
        <w:snapToGrid w:val="false"/>
        <w:spacing w:before="60" w:after="0"/>
        <w:ind w:hanging="357" w:left="714"/>
        <w:jc w:val="both"/>
        <w:rPr>
          <w:rFonts w:ascii="Tahoma" w:hAnsi="Tahoma" w:cs="Tahoma"/>
          <w:sz w:val="22"/>
          <w:szCs w:val="22"/>
        </w:rPr>
      </w:pPr>
      <w:r>
        <w:rPr>
          <w:rFonts w:cs="Tahoma" w:ascii="Tahoma" w:hAnsi="Tahoma"/>
          <w:sz w:val="22"/>
          <w:szCs w:val="22"/>
        </w:rPr>
        <w:t>lhůtu splatnosti faktury,</w:t>
      </w:r>
    </w:p>
    <w:p>
      <w:pPr>
        <w:pStyle w:val="Normal"/>
        <w:widowControl w:val="false"/>
        <w:numPr>
          <w:ilvl w:val="2"/>
          <w:numId w:val="4"/>
        </w:numPr>
        <w:tabs>
          <w:tab w:val="left" w:pos="709" w:leader="none"/>
        </w:tabs>
        <w:snapToGrid w:val="false"/>
        <w:spacing w:before="60" w:after="0"/>
        <w:ind w:hanging="357" w:left="714"/>
        <w:jc w:val="both"/>
        <w:rPr>
          <w:rFonts w:ascii="Tahoma" w:hAnsi="Tahoma" w:cs="Tahoma"/>
          <w:sz w:val="22"/>
          <w:szCs w:val="22"/>
        </w:rPr>
      </w:pPr>
      <w:r>
        <w:rPr>
          <w:rFonts w:cs="Tahoma" w:ascii="Tahoma" w:hAnsi="Tahoma"/>
          <w:sz w:val="22"/>
          <w:szCs w:val="22"/>
        </w:rPr>
        <w:t>označení osoby, která fakturu vyhotovila, včetně jejího podpisu a kontaktního telefonu,</w:t>
      </w:r>
    </w:p>
    <w:p>
      <w:pPr>
        <w:pStyle w:val="Normal"/>
        <w:widowControl w:val="false"/>
        <w:numPr>
          <w:ilvl w:val="2"/>
          <w:numId w:val="4"/>
        </w:numPr>
        <w:tabs>
          <w:tab w:val="left" w:pos="709" w:leader="none"/>
        </w:tabs>
        <w:snapToGrid w:val="false"/>
        <w:spacing w:before="60" w:after="0"/>
        <w:ind w:hanging="357" w:left="714"/>
        <w:jc w:val="both"/>
        <w:rPr>
          <w:rFonts w:ascii="Tahoma" w:hAnsi="Tahoma" w:cs="Tahoma"/>
          <w:sz w:val="22"/>
          <w:szCs w:val="22"/>
        </w:rPr>
      </w:pPr>
      <w:r>
        <w:rPr>
          <w:rFonts w:cs="Tahoma" w:ascii="Tahoma" w:hAnsi="Tahoma"/>
          <w:sz w:val="22"/>
          <w:szCs w:val="22"/>
        </w:rPr>
        <w:t>přílohou konečné faktury bude protokol o předání a převzetí díla dle této smlouvy, obsahující prohlášení objednatele, že dílo přejímá. Součástí konečné faktury bude rekapitulace vystavených faktur a rekapitulace veškerých provedených prací, která bude zpracována v souladu s odsouhlaseným soupisem prací.</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 xml:space="preserve">V souladu s ustanovením zákona o DPH sjednávají smluvní strany dílčí plnění v rozsahu skutečně provedeného plnění za kalendářní měsíc. Dílčí plnění odsouhlasené za objednatele podpisem odpovědné osoby za průběh stavby v soupisu skutečně provedených prací a zjišťovacím protokolu, včetně dohody o ocenění, se považuje za samostatné zdanitelné plnění uskutečněné poslední pracovní den měsíce. Zhotovitel (plátce DPH) vystaví na měsíční zdanitelné plnění fakturu, jejíž nedílnou součástí bude soupis provedených prací a zjišťovací protokol - obojí podepsané zhotovitelem a odsouhlasené osobou odpovědnou za průběh realizace stavby. Náklady na servis budou fakturovány samostatně vždy za celý kalendářní rok, vždy k poslednímu kalendářnímu dni měsíce, který odpovídá měsíci, v němž došlo k dokončení díla. </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V případě dodatečných prací fakturovaných na základě dodatků uzavřených k této smlouvě (vícepráce) bude soupis těchto prací tvořit samostatnou přílohu faktury.</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Lhůta splatnosti jednotlivých faktur je dohodou stanovena na 30 kalendářních dnů ode dne jejich doručení objednateli.</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 xml:space="preserve">Doručení faktury se provede osobně na podatelně objednatele oproti podpisu potvrzujícím převzetí, doručenkou prostřednictvím provozovatele poštovních služeb nebo prostřednictvím datové schránky nebo e-mailem na adresu </w:t>
      </w:r>
      <w:hyperlink r:id="rId3">
        <w:r>
          <w:rPr>
            <w:rStyle w:val="Hyperlink"/>
            <w:rFonts w:cs="Tahoma" w:ascii="Tahoma" w:hAnsi="Tahoma"/>
            <w:sz w:val="22"/>
            <w:szCs w:val="22"/>
          </w:rPr>
          <w:t>faktura@ssrz.cz</w:t>
        </w:r>
      </w:hyperlink>
      <w:r>
        <w:rPr>
          <w:rFonts w:cs="Tahoma" w:ascii="Tahoma" w:hAnsi="Tahoma"/>
          <w:sz w:val="22"/>
          <w:szCs w:val="22"/>
        </w:rPr>
        <w:t xml:space="preserve"> .</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Objednatel je oprávněn vadnou fakturu před uplynutím lhůty splatnosti vrátit druhé smluvní straně bez zaplacení k provedení opravy v těchto případech:</w:t>
      </w:r>
    </w:p>
    <w:p>
      <w:pPr>
        <w:pStyle w:val="Normal"/>
        <w:widowControl w:val="false"/>
        <w:numPr>
          <w:ilvl w:val="0"/>
          <w:numId w:val="18"/>
        </w:numPr>
        <w:tabs>
          <w:tab w:val="clear" w:pos="709"/>
          <w:tab w:val="left" w:pos="714" w:leader="none"/>
        </w:tabs>
        <w:snapToGrid w:val="false"/>
        <w:spacing w:before="60" w:after="0"/>
        <w:ind w:hanging="357" w:left="714"/>
        <w:jc w:val="both"/>
        <w:rPr>
          <w:rFonts w:ascii="Tahoma" w:hAnsi="Tahoma" w:cs="Tahoma"/>
          <w:sz w:val="22"/>
          <w:szCs w:val="22"/>
        </w:rPr>
      </w:pPr>
      <w:r>
        <w:rPr>
          <w:rFonts w:cs="Tahoma" w:ascii="Tahoma" w:hAnsi="Tahoma"/>
          <w:sz w:val="22"/>
          <w:szCs w:val="22"/>
        </w:rPr>
        <w:t>nebude</w:t>
        <w:noBreakHyphen/>
        <w:t>li faktura obsahovat některou povinnou nebo dohodnutou náležitost nebo bude</w:t>
        <w:noBreakHyphen/>
        <w:t>li chybně vyúčtována cena za dílo,</w:t>
      </w:r>
    </w:p>
    <w:p>
      <w:pPr>
        <w:pStyle w:val="Normal"/>
        <w:widowControl w:val="false"/>
        <w:numPr>
          <w:ilvl w:val="0"/>
          <w:numId w:val="18"/>
        </w:numPr>
        <w:tabs>
          <w:tab w:val="clear" w:pos="709"/>
          <w:tab w:val="left" w:pos="714" w:leader="none"/>
        </w:tabs>
        <w:snapToGrid w:val="false"/>
        <w:spacing w:before="60" w:after="0"/>
        <w:ind w:hanging="357" w:left="714"/>
        <w:jc w:val="both"/>
        <w:rPr>
          <w:rFonts w:ascii="Tahoma" w:hAnsi="Tahoma" w:cs="Tahoma"/>
          <w:sz w:val="22"/>
          <w:szCs w:val="22"/>
        </w:rPr>
      </w:pPr>
      <w:r>
        <w:rPr>
          <w:rFonts w:cs="Tahoma" w:ascii="Tahoma" w:hAnsi="Tahoma"/>
          <w:sz w:val="22"/>
          <w:szCs w:val="22"/>
        </w:rPr>
        <w:t>budou</w:t>
        <w:noBreakHyphen/>
        <w:t>li vyúčtovány práce, které nebyly provedeny či nebyly potvrzeny oprávněným zástupcem objednatele,</w:t>
      </w:r>
    </w:p>
    <w:p>
      <w:pPr>
        <w:pStyle w:val="Normal"/>
        <w:widowControl w:val="false"/>
        <w:numPr>
          <w:ilvl w:val="0"/>
          <w:numId w:val="18"/>
        </w:numPr>
        <w:tabs>
          <w:tab w:val="clear" w:pos="709"/>
          <w:tab w:val="left" w:pos="714" w:leader="none"/>
        </w:tabs>
        <w:snapToGrid w:val="false"/>
        <w:spacing w:before="60" w:after="0"/>
        <w:ind w:hanging="357" w:left="714"/>
        <w:jc w:val="both"/>
        <w:rPr>
          <w:rFonts w:ascii="Tahoma" w:hAnsi="Tahoma" w:cs="Tahoma"/>
          <w:sz w:val="22"/>
          <w:szCs w:val="22"/>
        </w:rPr>
      </w:pPr>
      <w:r>
        <w:rPr>
          <w:rFonts w:cs="Tahoma" w:ascii="Tahoma" w:hAnsi="Tahoma"/>
          <w:sz w:val="22"/>
          <w:szCs w:val="22"/>
        </w:rPr>
        <w:t>bude</w:t>
        <w:noBreakHyphen/>
        <w:t>li DPH vyúčtována v nesprávné výši.</w:t>
      </w:r>
    </w:p>
    <w:p>
      <w:pPr>
        <w:pStyle w:val="Smlouva-slo1"/>
        <w:spacing w:lineRule="auto" w:line="240"/>
        <w:ind w:left="357"/>
        <w:rPr>
          <w:rFonts w:ascii="Tahoma" w:hAnsi="Tahoma" w:cs="Tahoma"/>
          <w:sz w:val="22"/>
          <w:szCs w:val="22"/>
        </w:rPr>
      </w:pPr>
      <w:r>
        <w:rPr>
          <w:rFonts w:cs="Tahoma" w:ascii="Tahoma" w:hAnsi="Tahoma"/>
          <w:sz w:val="22"/>
          <w:szCs w:val="22"/>
        </w:rPr>
        <w:t>Ve vrácené faktuře objednatel vyznačí důvod vrácení. Zhotovitel provede opravu faktury a znovu ji doručí objednateli. Vrátí</w:t>
        <w:noBreakHyphen/>
        <w:t>li objednatel vadnou fakturu zhotoviteli, přestává běžet původní lhůta splatnosti. Nová lhůta splatnosti běží opět ode dne doručení opravené faktury objednateli. Zhotovitel je povinen doručit objednateli opravenou fakturu do 3 dnů po obdržení objednatelem vrácené vadné faktury.</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Povinnost zaplatit cenu za dílo je splněna dnem odepsání příslušné částky z účtu objednatele.</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Objednatel je oprávněn pozastavit financování v případě, že zhotovitel bezdůvodně přeruší práce nebo práce bude provádět v rozporu s projektovou dokumentací, touto smlouvou nebo pokyny objednatele.</w:t>
      </w:r>
    </w:p>
    <w:p>
      <w:pPr>
        <w:pStyle w:val="Normal"/>
        <w:widowControl w:val="false"/>
        <w:numPr>
          <w:ilvl w:val="1"/>
          <w:numId w:val="3"/>
        </w:numPr>
        <w:tabs>
          <w:tab w:val="clear" w:pos="709"/>
        </w:tabs>
        <w:snapToGrid w:val="false"/>
        <w:spacing w:before="120" w:after="0"/>
        <w:ind w:hanging="357" w:left="357"/>
        <w:jc w:val="both"/>
        <w:rPr>
          <w:rFonts w:ascii="Tahoma" w:hAnsi="Tahoma" w:cs="Tahoma"/>
          <w:sz w:val="22"/>
          <w:szCs w:val="22"/>
        </w:rPr>
      </w:pPr>
      <w:r>
        <w:rPr>
          <w:rFonts w:cs="Tahoma" w:ascii="Tahoma" w:hAnsi="Tahoma"/>
          <w:sz w:val="22"/>
          <w:szCs w:val="22"/>
        </w:rPr>
        <w:t>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pPr>
        <w:pStyle w:val="Normal"/>
        <w:numPr>
          <w:ilvl w:val="0"/>
          <w:numId w:val="27"/>
        </w:numPr>
        <w:spacing w:before="60" w:after="0"/>
        <w:ind w:hanging="357" w:left="714"/>
        <w:jc w:val="both"/>
        <w:rPr>
          <w:rFonts w:ascii="Tahoma" w:hAnsi="Tahoma" w:cs="Tahoma"/>
          <w:sz w:val="22"/>
          <w:szCs w:val="22"/>
        </w:rPr>
      </w:pPr>
      <w:r>
        <w:rPr>
          <w:rFonts w:cs="Tahoma" w:ascii="Tahoma" w:hAnsi="Tahoma"/>
          <w:sz w:val="22"/>
          <w:szCs w:val="22"/>
        </w:rPr>
        <w:t>zhotovitel bude ke dni poskytnutí úplaty nebo ke dni uskutečnění zdanitelného plnění zveřejněn v aplikaci „Registr DPH“ jako nespolehlivý plátce, nebo</w:t>
      </w:r>
    </w:p>
    <w:p>
      <w:pPr>
        <w:pStyle w:val="Normal"/>
        <w:numPr>
          <w:ilvl w:val="0"/>
          <w:numId w:val="27"/>
        </w:numPr>
        <w:spacing w:before="60" w:after="0"/>
        <w:ind w:hanging="357" w:left="714"/>
        <w:jc w:val="both"/>
        <w:rPr>
          <w:rFonts w:ascii="Tahoma" w:hAnsi="Tahoma" w:cs="Tahoma"/>
          <w:sz w:val="22"/>
          <w:szCs w:val="22"/>
        </w:rPr>
      </w:pPr>
      <w:r>
        <w:rPr>
          <w:rFonts w:cs="Tahoma" w:ascii="Tahoma" w:hAnsi="Tahoma"/>
          <w:sz w:val="22"/>
          <w:szCs w:val="22"/>
        </w:rPr>
        <w:t>zhotovitel bude ke dni poskytnutí úplaty nebo ke dni uskutečnění zdanitelného plnění v insolvenčním řízení, nebo</w:t>
      </w:r>
    </w:p>
    <w:p>
      <w:pPr>
        <w:pStyle w:val="Normal"/>
        <w:numPr>
          <w:ilvl w:val="0"/>
          <w:numId w:val="27"/>
        </w:numPr>
        <w:spacing w:before="60" w:after="0"/>
        <w:ind w:hanging="357" w:left="714"/>
        <w:jc w:val="both"/>
        <w:rPr>
          <w:rFonts w:ascii="Tahoma" w:hAnsi="Tahoma" w:cs="Tahoma"/>
          <w:sz w:val="22"/>
          <w:szCs w:val="22"/>
        </w:rPr>
      </w:pPr>
      <w:r>
        <w:rPr>
          <w:rFonts w:cs="Tahoma" w:ascii="Tahoma" w:hAnsi="Tahoma"/>
          <w:sz w:val="22"/>
          <w:szCs w:val="22"/>
        </w:rPr>
        <w:t>bankovní účet zhotovitele určený k úhradě plnění uvedený na faktuře nebude správcem daně zveřejněn v aplikaci „Registr DPH“.</w:t>
      </w:r>
    </w:p>
    <w:p>
      <w:pPr>
        <w:pStyle w:val="Normal"/>
        <w:spacing w:before="120" w:after="0"/>
        <w:ind w:left="357"/>
        <w:jc w:val="both"/>
        <w:rPr>
          <w:rFonts w:ascii="Tahoma" w:hAnsi="Tahoma" w:cs="Tahoma"/>
          <w:sz w:val="22"/>
          <w:szCs w:val="22"/>
        </w:rPr>
      </w:pPr>
      <w:r>
        <w:rPr>
          <w:rFonts w:cs="Tahoma" w:ascii="Tahoma" w:hAnsi="Tahoma"/>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pPr>
        <w:pStyle w:val="Normal"/>
        <w:keepNext w:val="true"/>
        <w:spacing w:before="360" w:after="0"/>
        <w:jc w:val="center"/>
        <w:rPr>
          <w:rFonts w:ascii="Tahoma" w:hAnsi="Tahoma" w:cs="Tahoma"/>
          <w:b/>
          <w:sz w:val="22"/>
          <w:szCs w:val="22"/>
        </w:rPr>
      </w:pPr>
      <w:r>
        <w:rPr>
          <w:rFonts w:cs="Tahoma" w:ascii="Tahoma" w:hAnsi="Tahoma"/>
          <w:b/>
          <w:sz w:val="22"/>
          <w:szCs w:val="22"/>
        </w:rPr>
        <w:t>VII.</w:t>
        <w:br/>
        <w:t>Jakost díla</w:t>
      </w:r>
    </w:p>
    <w:p>
      <w:pPr>
        <w:pStyle w:val="Smlouva-slo1"/>
        <w:numPr>
          <w:ilvl w:val="0"/>
          <w:numId w:val="5"/>
        </w:numPr>
        <w:tabs>
          <w:tab w:val="clear" w:pos="709"/>
        </w:tabs>
        <w:spacing w:lineRule="auto" w:line="240"/>
        <w:rPr>
          <w:rFonts w:ascii="Tahoma" w:hAnsi="Tahoma" w:cs="Tahoma"/>
          <w:bCs/>
          <w:sz w:val="22"/>
          <w:szCs w:val="22"/>
        </w:rPr>
      </w:pPr>
      <w:r>
        <w:rPr>
          <w:rFonts w:cs="Tahoma" w:ascii="Tahoma" w:hAnsi="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pPr>
        <w:pStyle w:val="Smlouva-slo1"/>
        <w:numPr>
          <w:ilvl w:val="0"/>
          <w:numId w:val="5"/>
        </w:numPr>
        <w:tabs>
          <w:tab w:val="clear" w:pos="709"/>
        </w:tabs>
        <w:spacing w:lineRule="auto" w:line="240"/>
        <w:rPr>
          <w:rFonts w:ascii="Tahoma" w:hAnsi="Tahoma" w:cs="Tahoma"/>
          <w:bCs/>
          <w:sz w:val="22"/>
          <w:szCs w:val="22"/>
        </w:rPr>
      </w:pPr>
      <w:r>
        <w:rPr>
          <w:rFonts w:cs="Tahoma" w:ascii="Tahoma" w:hAnsi="Tahoma"/>
          <w:bCs/>
          <w:sz w:val="22"/>
          <w:szCs w:val="22"/>
        </w:rPr>
        <w:t>Smluvní strany se dohodly, že bude</w:t>
        <w:noBreakHyphen/>
        <w:t>li v rámci díla dodáváno zboží (spotřebiče, nábytek apod.), toto bude dodáno v nejvyšší jakosti.</w:t>
      </w:r>
    </w:p>
    <w:p>
      <w:pPr>
        <w:pStyle w:val="Smlouva-slo1"/>
        <w:numPr>
          <w:ilvl w:val="0"/>
          <w:numId w:val="5"/>
        </w:numPr>
        <w:tabs>
          <w:tab w:val="clear" w:pos="709"/>
        </w:tabs>
        <w:spacing w:lineRule="auto" w:line="240"/>
        <w:rPr>
          <w:rFonts w:ascii="Tahoma" w:hAnsi="Tahoma" w:cs="Tahoma"/>
          <w:bCs/>
          <w:sz w:val="22"/>
          <w:szCs w:val="22"/>
        </w:rPr>
      </w:pPr>
      <w:r>
        <w:rPr>
          <w:rFonts w:cs="Tahoma" w:ascii="Tahoma" w:hAnsi="Tahoma"/>
          <w:bCs/>
          <w:sz w:val="22"/>
          <w:szCs w:val="22"/>
        </w:rPr>
        <w:t>Jakost dodávaných materiálů a konstrukcí bude dokladována předepsaným způsobem při kontrolních prohlídkách a při předání a převzetí díla.</w:t>
      </w:r>
    </w:p>
    <w:p>
      <w:pPr>
        <w:pStyle w:val="Normal"/>
        <w:keepNext w:val="true"/>
        <w:spacing w:before="360" w:after="0"/>
        <w:jc w:val="center"/>
        <w:rPr>
          <w:rFonts w:ascii="Tahoma" w:hAnsi="Tahoma" w:cs="Tahoma"/>
          <w:b/>
          <w:sz w:val="22"/>
          <w:szCs w:val="22"/>
        </w:rPr>
      </w:pPr>
      <w:r>
        <w:rPr>
          <w:rFonts w:cs="Tahoma" w:ascii="Tahoma" w:hAnsi="Tahoma"/>
          <w:b/>
          <w:sz w:val="22"/>
          <w:szCs w:val="22"/>
        </w:rPr>
        <w:t>VIII.</w:t>
        <w:br/>
        <w:t>Provádění díla, práva a povinnosti smluvních stran</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je povinen:</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dodržovat při provádění díla ujednání této smlouvy, řídit se podklady a pokyny objednatele a poskytnout mu požadovanou dokumentaci a informace,</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účastnit se na základě pozvánky objednatele všech jednání týkajících se předmětného díla,</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dbát při provádění díla na ochranu životního prostředí a dodržovat platné technické, bezpečnostní, zdravotní, hygienické a jiné předpisy, včetně předpisů týkajících se ochrany životního prostředí,</w:t>
      </w:r>
    </w:p>
    <w:p>
      <w:pPr>
        <w:pStyle w:val="Smlouva-slo1"/>
        <w:numPr>
          <w:ilvl w:val="1"/>
          <w:numId w:val="7"/>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 xml:space="preserve">doložit platné atesty či certifikáty, případně další dokumenty prokazující splnění požadovaných technických a kvalitativních parametrů používaných výrobků a materiálů, a to nejpozději před jejich osazováním. Bez doložení těchto atestů a jejich odsouhlasení </w:t>
        <w:tab/>
        <w:t>osobou odpovědnou za průběh realizace stavby není zhotovitel oprávněn započít s osazováním příslušných výrobků.</w:t>
      </w:r>
    </w:p>
    <w:p>
      <w:pPr>
        <w:pStyle w:val="Smlouva-slo1"/>
        <w:numPr>
          <w:ilvl w:val="0"/>
          <w:numId w:val="7"/>
        </w:numPr>
        <w:spacing w:lineRule="auto" w:line="240"/>
        <w:rPr>
          <w:rFonts w:ascii="Tahoma" w:hAnsi="Tahoma" w:cs="Tahoma"/>
          <w:sz w:val="22"/>
          <w:szCs w:val="22"/>
        </w:rPr>
      </w:pPr>
      <w:r>
        <w:rPr>
          <w:rFonts w:cs="Tahoma" w:ascii="Tahoma" w:hAnsi="Tahoma"/>
          <w:sz w:val="22"/>
          <w:szCs w:val="22"/>
        </w:rPr>
        <w:t>Zhotovitel je povinen informovat objednatele o skutečnostech majících vliv na plnění této smlouvy, a to neprodleně, nejpozději následující pracovní den poté, kdy příslušná skutečnost nastane nebo zhotovitel zjistí, že by nastat mohla. Informace dle předchozí věty budou objednateli zaslány elektronickou poštou na adresu objednatele. Zhotovitel je povinen informovat objednatele zejména:</w:t>
      </w:r>
    </w:p>
    <w:p>
      <w:pPr>
        <w:pStyle w:val="Smlouva-slo1"/>
        <w:numPr>
          <w:ilvl w:val="0"/>
          <w:numId w:val="24"/>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zjistí</w:t>
        <w:noBreakHyphen/>
        <w:t>li při provádění díla skryté překážky bránící řádnému provedení díla. Zhotovitel je povinen navrhnout objednateli další postup,</w:t>
      </w:r>
    </w:p>
    <w:p>
      <w:pPr>
        <w:pStyle w:val="Smlouva-slo1"/>
        <w:numPr>
          <w:ilvl w:val="0"/>
          <w:numId w:val="24"/>
        </w:numPr>
        <w:tabs>
          <w:tab w:val="clear" w:pos="709"/>
          <w:tab w:val="left" w:pos="720" w:leader="none"/>
        </w:tabs>
        <w:spacing w:lineRule="auto" w:line="240" w:before="60" w:after="0"/>
        <w:ind w:hanging="357" w:left="714"/>
        <w:rPr>
          <w:rFonts w:ascii="Tahoma" w:hAnsi="Tahoma" w:cs="Tahoma"/>
          <w:sz w:val="22"/>
          <w:szCs w:val="22"/>
        </w:rPr>
      </w:pPr>
      <w:r>
        <w:rPr>
          <w:rFonts w:cs="Tahoma" w:ascii="Tahoma" w:hAnsi="Tahoma"/>
          <w:sz w:val="22"/>
          <w:szCs w:val="22"/>
        </w:rPr>
        <w:t>o případné nevhodnosti realizace vyžadovaných prací,</w:t>
      </w:r>
    </w:p>
    <w:p>
      <w:pPr>
        <w:pStyle w:val="Smlouva-slo1"/>
        <w:numPr>
          <w:ilvl w:val="0"/>
          <w:numId w:val="24"/>
        </w:numPr>
        <w:tabs>
          <w:tab w:val="clear" w:pos="709"/>
          <w:tab w:val="left" w:pos="720" w:leader="none"/>
        </w:tabs>
        <w:spacing w:lineRule="auto" w:line="240" w:before="60" w:after="0"/>
        <w:ind w:hanging="357" w:left="714"/>
        <w:rPr>
          <w:rFonts w:ascii="Tahoma" w:hAnsi="Tahoma" w:cs="Tahoma"/>
          <w:sz w:val="22"/>
          <w:szCs w:val="22"/>
        </w:rPr>
      </w:pPr>
      <w:r>
        <w:rPr>
          <w:rFonts w:cs="Tahoma" w:ascii="Tahoma" w:hAnsi="Tahoma"/>
          <w:sz w:val="22"/>
          <w:szCs w:val="22"/>
        </w:rPr>
        <w:t>zjistí</w:t>
        <w:noBreakHyphen/>
        <w:t>li v projektové dokumentaci dle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pPr>
        <w:pStyle w:val="Smlouva-slo1"/>
        <w:numPr>
          <w:ilvl w:val="0"/>
          <w:numId w:val="7"/>
        </w:numPr>
        <w:spacing w:lineRule="auto" w:line="240"/>
        <w:rPr>
          <w:rFonts w:ascii="Tahoma" w:hAnsi="Tahoma" w:cs="Tahoma"/>
          <w:sz w:val="22"/>
          <w:szCs w:val="22"/>
        </w:rPr>
      </w:pPr>
      <w:r>
        <w:rPr>
          <w:rFonts w:cs="Tahoma" w:ascii="Tahoma" w:hAnsi="Tahoma"/>
          <w:sz w:val="22"/>
          <w:szCs w:val="22"/>
        </w:rPr>
        <w:t>Zhotovitel jako odborně způsobilá osoba je povinen zkontrolovat technickou část předané dokumentace vč. jejího rozsahu a obsahu dle požadavků platných předpisů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zajistí dílo tak, aby nedošlo k ohrožování, nadměrnému nebo zbytečnému obtěžování okolí provádění díla, k omezování práv a právem chráněných zájmů vlastníků sousedních nemovitostí, ke znečištění komunikací apod.</w:t>
      </w:r>
    </w:p>
    <w:p>
      <w:pPr>
        <w:pStyle w:val="Smlouva-slo1"/>
        <w:numPr>
          <w:ilvl w:val="0"/>
          <w:numId w:val="7"/>
        </w:numPr>
        <w:spacing w:lineRule="auto" w:line="240"/>
        <w:rPr>
          <w:rFonts w:ascii="Tahoma" w:hAnsi="Tahoma" w:cs="Tahoma"/>
          <w:sz w:val="22"/>
          <w:szCs w:val="22"/>
        </w:rPr>
      </w:pPr>
      <w:r>
        <w:rPr>
          <w:rFonts w:cs="Tahoma" w:ascii="Tahoma" w:hAnsi="Tahoma"/>
          <w:sz w:val="22"/>
          <w:szCs w:val="22"/>
        </w:rPr>
        <w:t>Zhotovitel nese odpovědnost původce odpadů, zavazuje se nezpůsobovat únik ropných, toxických či jiných škodlivých látek na místě provádění díla.</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je povinen provedené práce, zařizovací předměty a výrobky zabezpečit před poškozením a krádežemi až do předání díla k užívání objednateli, a to na vlastní náklady.</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je povinen informovat objednatele o poddodavatelích, kteří se budou podílet na realizaci díla, a to před zahájením plnění části díla tímto poddodavatelem.</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odpovídá za zajištění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Zhotovitel se zavazuje realizovat práce vyžadující zvláštní způsobilost nebo povolení podle příslušných předpisů osobami, které tuto podmínku splňují.</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V případě, že zhotovitel bude používat stroje, které vyvolávají vibrace a otřesy, zajistí si taková opatření, aby na blízkých stávajících objektech nedošlo vlivem činnosti ke škodám. V opačném případě ponese plnou odpovědnost za způsobené škody a tyto škody uhradí.</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Bourací práce způsobující hluk nebo prach budou realizovány pouze po předchozím oznámení objednateli.</w:t>
      </w:r>
    </w:p>
    <w:p>
      <w:pPr>
        <w:pStyle w:val="Smlouva-slo1"/>
        <w:numPr>
          <w:ilvl w:val="0"/>
          <w:numId w:val="7"/>
        </w:numPr>
        <w:spacing w:lineRule="auto" w:line="240"/>
        <w:rPr>
          <w:rFonts w:ascii="Tahoma" w:hAnsi="Tahoma" w:cs="Tahoma"/>
          <w:sz w:val="22"/>
          <w:szCs w:val="22"/>
        </w:rPr>
      </w:pPr>
      <w:r>
        <w:rPr>
          <w:rFonts w:cs="Tahoma" w:ascii="Tahoma" w:hAnsi="Tahoma"/>
          <w:sz w:val="22"/>
          <w:szCs w:val="22"/>
        </w:rPr>
        <w:t>Zhotovitel je povinen umožnit výkon dozoru stavby a umožnit osobám, které jej vykonávají, vstup na místo realizace</w:t>
      </w:r>
      <w:r>
        <w:rPr>
          <w:rFonts w:cs="Tahoma" w:ascii="Tahoma" w:hAnsi="Tahoma"/>
          <w:iCs/>
          <w:sz w:val="22"/>
          <w:szCs w:val="22"/>
        </w:rPr>
        <w:t>.</w:t>
      </w:r>
    </w:p>
    <w:p>
      <w:pPr>
        <w:pStyle w:val="Smlouva-slo1"/>
        <w:spacing w:lineRule="auto" w:line="240"/>
        <w:ind w:hanging="357" w:left="357"/>
        <w:rPr>
          <w:rFonts w:ascii="Tahoma" w:hAnsi="Tahoma" w:cs="Tahoma"/>
          <w:bCs/>
          <w:caps/>
          <w:sz w:val="22"/>
          <w:szCs w:val="22"/>
        </w:rPr>
      </w:pPr>
      <w:r>
        <w:rPr>
          <w:rFonts w:cs="Tahoma" w:ascii="Tahoma" w:hAnsi="Tahoma"/>
          <w:bCs/>
          <w:caps/>
          <w:sz w:val="22"/>
          <w:szCs w:val="22"/>
        </w:rPr>
        <w:t>Kontrola prováděných prací, organizace kontrolních dnů</w:t>
      </w:r>
    </w:p>
    <w:p>
      <w:pPr>
        <w:pStyle w:val="Smlouva-slo1"/>
        <w:numPr>
          <w:ilvl w:val="0"/>
          <w:numId w:val="7"/>
        </w:numPr>
        <w:tabs>
          <w:tab w:val="clear" w:pos="709"/>
        </w:tabs>
        <w:spacing w:lineRule="auto" w:line="240"/>
        <w:ind w:hanging="357" w:left="357"/>
        <w:rPr>
          <w:rFonts w:ascii="Tahoma" w:hAnsi="Tahoma" w:cs="Tahoma"/>
          <w:sz w:val="22"/>
          <w:szCs w:val="22"/>
        </w:rPr>
      </w:pPr>
      <w:r>
        <w:rPr>
          <w:rFonts w:cs="Tahoma" w:ascii="Tahoma" w:hAnsi="Tahoma"/>
          <w:sz w:val="22"/>
          <w:szCs w:val="22"/>
        </w:rPr>
        <w:t>Kontrola prováděných prací bude realizována:</w:t>
      </w:r>
    </w:p>
    <w:p>
      <w:pPr>
        <w:pStyle w:val="Smlouva-slo1"/>
        <w:numPr>
          <w:ilvl w:val="0"/>
          <w:numId w:val="25"/>
        </w:numPr>
        <w:tabs>
          <w:tab w:val="clear" w:pos="709"/>
          <w:tab w:val="left" w:pos="720" w:leader="none"/>
        </w:tabs>
        <w:spacing w:lineRule="auto" w:line="240"/>
        <w:ind w:hanging="357" w:left="714"/>
        <w:rPr>
          <w:rFonts w:ascii="Tahoma" w:hAnsi="Tahoma" w:cs="Tahoma"/>
          <w:sz w:val="22"/>
          <w:szCs w:val="22"/>
        </w:rPr>
      </w:pPr>
      <w:r>
        <w:rPr>
          <w:rFonts w:cs="Tahoma" w:ascii="Tahoma" w:hAnsi="Tahoma"/>
          <w:sz w:val="22"/>
          <w:szCs w:val="22"/>
        </w:rPr>
        <w:t>odpovědnou osobou za průběh realizace stavby,</w:t>
      </w:r>
    </w:p>
    <w:p>
      <w:pPr>
        <w:pStyle w:val="Smlouva-slo1"/>
        <w:numPr>
          <w:ilvl w:val="0"/>
          <w:numId w:val="25"/>
        </w:numPr>
        <w:tabs>
          <w:tab w:val="clear" w:pos="709"/>
          <w:tab w:val="left" w:pos="720" w:leader="none"/>
        </w:tabs>
        <w:spacing w:lineRule="auto" w:line="240"/>
        <w:ind w:hanging="357" w:left="714"/>
        <w:rPr>
          <w:rFonts w:ascii="Tahoma" w:hAnsi="Tahoma" w:cs="Tahoma"/>
          <w:sz w:val="22"/>
          <w:szCs w:val="22"/>
        </w:rPr>
      </w:pPr>
      <w:r>
        <w:rPr>
          <w:rFonts w:cs="Tahoma" w:ascii="Tahoma" w:hAnsi="Tahoma"/>
          <w:sz w:val="22"/>
          <w:szCs w:val="22"/>
        </w:rPr>
        <w:t>osobou vykonávající činnost autorského dozoru projektanta,</w:t>
      </w:r>
    </w:p>
    <w:p>
      <w:pPr>
        <w:pStyle w:val="Smlouva-slo1"/>
        <w:numPr>
          <w:ilvl w:val="0"/>
          <w:numId w:val="25"/>
        </w:numPr>
        <w:tabs>
          <w:tab w:val="clear" w:pos="709"/>
          <w:tab w:val="left" w:pos="720" w:leader="none"/>
        </w:tabs>
        <w:spacing w:lineRule="auto" w:line="240"/>
        <w:ind w:hanging="357" w:left="714"/>
        <w:rPr>
          <w:rFonts w:ascii="Tahoma" w:hAnsi="Tahoma" w:cs="Tahoma"/>
          <w:sz w:val="22"/>
          <w:szCs w:val="22"/>
        </w:rPr>
      </w:pPr>
      <w:r>
        <w:rPr>
          <w:rFonts w:cs="Tahoma" w:ascii="Tahoma" w:hAnsi="Tahoma"/>
          <w:sz w:val="22"/>
          <w:szCs w:val="22"/>
        </w:rPr>
        <w:t>orgány státní správy oprávněnými ke kontrole na základě zvláštních předpisů,</w:t>
      </w:r>
    </w:p>
    <w:p>
      <w:pPr>
        <w:pStyle w:val="Smlouva-slo1"/>
        <w:spacing w:lineRule="auto" w:line="240"/>
        <w:ind w:left="360"/>
        <w:rPr>
          <w:rFonts w:ascii="Tahoma" w:hAnsi="Tahoma" w:cs="Tahoma"/>
          <w:sz w:val="22"/>
          <w:szCs w:val="22"/>
        </w:rPr>
      </w:pPr>
      <w:r>
        <w:rPr>
          <w:rFonts w:cs="Tahoma" w:ascii="Tahoma" w:hAnsi="Tahoma"/>
          <w:sz w:val="22"/>
          <w:szCs w:val="22"/>
        </w:rPr>
        <w:t>Dále může provádět kontrolu objednatel a jím pověřené osoby.</w:t>
      </w:r>
    </w:p>
    <w:p>
      <w:pPr>
        <w:pStyle w:val="Smlouva-slo1"/>
        <w:spacing w:lineRule="auto" w:line="240"/>
        <w:ind w:firstLine="357"/>
        <w:rPr>
          <w:rFonts w:ascii="Tahoma" w:hAnsi="Tahoma" w:cs="Tahoma"/>
          <w:sz w:val="22"/>
          <w:szCs w:val="22"/>
        </w:rPr>
      </w:pPr>
      <w:r>
        <w:rPr>
          <w:rFonts w:cs="Tahoma" w:ascii="Tahoma" w:hAnsi="Tahoma"/>
          <w:sz w:val="22"/>
          <w:szCs w:val="22"/>
        </w:rPr>
        <w:t>Zhotovitel je povinen umožnit uvedeným osobám provedení kontroly realizovaných prací.</w:t>
      </w:r>
    </w:p>
    <w:p>
      <w:pPr>
        <w:pStyle w:val="Normal"/>
        <w:spacing w:before="360" w:after="0"/>
        <w:jc w:val="center"/>
        <w:rPr>
          <w:rFonts w:ascii="Tahoma" w:hAnsi="Tahoma" w:cs="Tahoma"/>
          <w:b/>
          <w:sz w:val="22"/>
          <w:szCs w:val="22"/>
        </w:rPr>
      </w:pPr>
      <w:r>
        <w:rPr>
          <w:rFonts w:cs="Tahoma" w:ascii="Tahoma" w:hAnsi="Tahoma"/>
          <w:b/>
          <w:sz w:val="22"/>
          <w:szCs w:val="22"/>
        </w:rPr>
        <w:t>IX.</w:t>
        <w:br/>
        <w:t>Předání díla</w:t>
      </w:r>
    </w:p>
    <w:p>
      <w:pPr>
        <w:pStyle w:val="Normal"/>
        <w:widowControl w:val="false"/>
        <w:numPr>
          <w:ilvl w:val="0"/>
          <w:numId w:val="8"/>
        </w:numPr>
        <w:tabs>
          <w:tab w:val="clear" w:pos="709"/>
        </w:tabs>
        <w:spacing w:before="120" w:after="0"/>
        <w:jc w:val="both"/>
        <w:rPr>
          <w:rFonts w:ascii="Tahoma" w:hAnsi="Tahoma" w:cs="Tahoma"/>
          <w:sz w:val="22"/>
          <w:szCs w:val="22"/>
        </w:rPr>
      </w:pPr>
      <w:r>
        <w:rPr>
          <w:rFonts w:cs="Tahoma" w:ascii="Tahoma" w:hAnsi="Tahoma"/>
          <w:sz w:val="22"/>
          <w:szCs w:val="22"/>
        </w:rPr>
        <w:t>Přejímací řízení bude objednatelem zahájeno do 5 pracovních dnů po obdržení písemné výzvy zhotovitele k převzetí dokončeného díla.</w:t>
      </w:r>
    </w:p>
    <w:p>
      <w:pPr>
        <w:pStyle w:val="Normal"/>
        <w:widowControl w:val="false"/>
        <w:numPr>
          <w:ilvl w:val="0"/>
          <w:numId w:val="8"/>
        </w:numPr>
        <w:tabs>
          <w:tab w:val="clear" w:pos="709"/>
        </w:tabs>
        <w:spacing w:before="120" w:after="0"/>
        <w:ind w:hanging="357" w:left="357"/>
        <w:jc w:val="both"/>
        <w:rPr>
          <w:rFonts w:ascii="Tahoma" w:hAnsi="Tahoma" w:cs="Tahoma"/>
          <w:sz w:val="22"/>
          <w:szCs w:val="22"/>
        </w:rPr>
      </w:pPr>
      <w:r>
        <w:rPr>
          <w:rFonts w:cs="Tahoma" w:ascii="Tahoma" w:hAnsi="Tahoma"/>
          <w:sz w:val="22"/>
          <w:szCs w:val="22"/>
        </w:rPr>
        <w:t>Objednatel se zavazuje dokončené dílo převzít do 10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pPr>
        <w:pStyle w:val="Normal"/>
        <w:widowControl w:val="false"/>
        <w:numPr>
          <w:ilvl w:val="0"/>
          <w:numId w:val="8"/>
        </w:numPr>
        <w:tabs>
          <w:tab w:val="clear" w:pos="709"/>
        </w:tabs>
        <w:spacing w:before="120" w:after="0"/>
        <w:ind w:hanging="357" w:left="357"/>
        <w:jc w:val="both"/>
        <w:rPr>
          <w:rFonts w:ascii="Tahoma" w:hAnsi="Tahoma" w:cs="Tahoma"/>
          <w:sz w:val="22"/>
          <w:szCs w:val="22"/>
        </w:rPr>
      </w:pPr>
      <w:r>
        <w:rPr>
          <w:rFonts w:cs="Tahoma" w:ascii="Tahoma" w:hAnsi="Tahoma"/>
          <w:sz w:val="22"/>
          <w:szCs w:val="22"/>
        </w:rPr>
        <w:t>O předání a převzetí díla bude sepsán protokol mezi objednatelem a zhotovitelem. Protokol připraví a sepíše zhotovitel.</w:t>
      </w:r>
    </w:p>
    <w:p>
      <w:pPr>
        <w:pStyle w:val="Normal"/>
        <w:widowControl w:val="false"/>
        <w:spacing w:before="120" w:after="0"/>
        <w:ind w:left="357"/>
        <w:jc w:val="both"/>
        <w:rPr>
          <w:rFonts w:ascii="Tahoma" w:hAnsi="Tahoma" w:cs="Tahoma"/>
          <w:sz w:val="22"/>
          <w:szCs w:val="22"/>
        </w:rPr>
      </w:pPr>
      <w:r>
        <w:rPr>
          <w:rFonts w:cs="Tahoma" w:ascii="Tahoma" w:hAnsi="Tahoma"/>
          <w:sz w:val="22"/>
          <w:szCs w:val="22"/>
        </w:rPr>
        <w:t>Protokol bude obsahovat:</w:t>
      </w:r>
    </w:p>
    <w:p>
      <w:pPr>
        <w:pStyle w:val="Smlouva-slo1"/>
        <w:numPr>
          <w:ilvl w:val="2"/>
          <w:numId w:val="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označení předmětu díla,</w:t>
      </w:r>
    </w:p>
    <w:p>
      <w:pPr>
        <w:pStyle w:val="Smlouva-slo1"/>
        <w:numPr>
          <w:ilvl w:val="2"/>
          <w:numId w:val="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označení objednatele a zhotovitele díla,</w:t>
      </w:r>
    </w:p>
    <w:p>
      <w:pPr>
        <w:pStyle w:val="Smlouva-slo1"/>
        <w:numPr>
          <w:ilvl w:val="2"/>
          <w:numId w:val="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číslo a datum uzavření smlouvy o dílo včetně čísel a dat uzavření jejích dodatků,</w:t>
      </w:r>
    </w:p>
    <w:p>
      <w:pPr>
        <w:pStyle w:val="Smlouva-slo1"/>
        <w:numPr>
          <w:ilvl w:val="2"/>
          <w:numId w:val="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datum ukončení záruky za jakost na dílo,</w:t>
      </w:r>
    </w:p>
    <w:p>
      <w:pPr>
        <w:pStyle w:val="Smlouva-slo1"/>
        <w:numPr>
          <w:ilvl w:val="2"/>
          <w:numId w:val="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soupis nákladů od zahájení po dokončení díla,</w:t>
      </w:r>
    </w:p>
    <w:p>
      <w:pPr>
        <w:pStyle w:val="Smlouva-slo1"/>
        <w:numPr>
          <w:ilvl w:val="2"/>
          <w:numId w:val="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datum zahájení a dokončení prací na zhotovovaném díle,</w:t>
      </w:r>
    </w:p>
    <w:p>
      <w:pPr>
        <w:pStyle w:val="Smlouva-slo1"/>
        <w:numPr>
          <w:ilvl w:val="2"/>
          <w:numId w:val="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seznam převzaté dokumentace od zhotovitele,</w:t>
      </w:r>
    </w:p>
    <w:p>
      <w:pPr>
        <w:pStyle w:val="Smlouva-slo1"/>
        <w:numPr>
          <w:ilvl w:val="2"/>
          <w:numId w:val="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prohlášení objednatele, že dílo přejímá (nepřejímá),</w:t>
      </w:r>
    </w:p>
    <w:p>
      <w:pPr>
        <w:pStyle w:val="Smlouva-slo1"/>
        <w:numPr>
          <w:ilvl w:val="2"/>
          <w:numId w:val="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datum a místo sepsání protokolu,</w:t>
      </w:r>
    </w:p>
    <w:p>
      <w:pPr>
        <w:pStyle w:val="Smlouva-slo1"/>
        <w:numPr>
          <w:ilvl w:val="2"/>
          <w:numId w:val="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v případě, je</w:t>
        <w:noBreakHyphen/>
        <w:t>li dílo přebíráno s vadami a nedodělky, uvedení, že je dílo přebíráno s výhradami a seznam vad a nedodělků, s nimiž bylo dílo převzato, včetně uvedení lhůty k odstranění těchto vad,</w:t>
      </w:r>
    </w:p>
    <w:p>
      <w:pPr>
        <w:pStyle w:val="Smlouva-slo1"/>
        <w:numPr>
          <w:ilvl w:val="2"/>
          <w:numId w:val="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jména a podpisy zástupců objednatele, zhotovitele a odpovědné osoby za průběh realizace stavby.</w:t>
      </w:r>
    </w:p>
    <w:p>
      <w:pPr>
        <w:pStyle w:val="Normal"/>
        <w:widowControl w:val="false"/>
        <w:numPr>
          <w:ilvl w:val="0"/>
          <w:numId w:val="8"/>
        </w:numPr>
        <w:tabs>
          <w:tab w:val="clear" w:pos="709"/>
        </w:tabs>
        <w:spacing w:before="120" w:after="0"/>
        <w:ind w:hanging="426" w:left="426"/>
        <w:jc w:val="both"/>
        <w:rPr>
          <w:rFonts w:ascii="Tahoma" w:hAnsi="Tahoma" w:cs="Tahoma"/>
          <w:sz w:val="22"/>
          <w:szCs w:val="22"/>
        </w:rPr>
      </w:pPr>
      <w:r>
        <w:rPr>
          <w:rFonts w:cs="Tahoma" w:ascii="Tahoma" w:hAnsi="Tahoma"/>
          <w:sz w:val="22"/>
          <w:szCs w:val="22"/>
        </w:rPr>
        <w:t>Zhotovitel je povinen provést předepsané zkoušky dle platných právních předpisů a technických norem. Úspěšné provedení těchto zkoušek je podmínkou převzetí díla.</w:t>
      </w:r>
    </w:p>
    <w:p>
      <w:pPr>
        <w:pStyle w:val="Normal"/>
        <w:widowControl w:val="false"/>
        <w:numPr>
          <w:ilvl w:val="0"/>
          <w:numId w:val="8"/>
        </w:numPr>
        <w:tabs>
          <w:tab w:val="clear" w:pos="709"/>
        </w:tabs>
        <w:spacing w:before="120" w:after="0"/>
        <w:ind w:hanging="357" w:left="357"/>
        <w:jc w:val="both"/>
        <w:rPr>
          <w:rFonts w:ascii="Tahoma" w:hAnsi="Tahoma" w:cs="Tahoma"/>
          <w:sz w:val="22"/>
          <w:szCs w:val="22"/>
        </w:rPr>
      </w:pPr>
      <w:r>
        <w:rPr>
          <w:rFonts w:cs="Tahoma" w:ascii="Tahoma" w:hAnsi="Tahoma"/>
          <w:sz w:val="22"/>
          <w:szCs w:val="22"/>
        </w:rPr>
        <w:t xml:space="preserve">Doklady o řádném provedení díla dle technických norem a předpisů, o provedených zkouškách, atestech a další dokumentaci podle této smlouvy včetně prohlášení o shodě a dokladů nutných k provozování díla. </w:t>
      </w:r>
    </w:p>
    <w:p>
      <w:pPr>
        <w:pStyle w:val="Normal"/>
        <w:widowControl w:val="false"/>
        <w:numPr>
          <w:ilvl w:val="0"/>
          <w:numId w:val="8"/>
        </w:numPr>
        <w:tabs>
          <w:tab w:val="clear" w:pos="709"/>
        </w:tabs>
        <w:spacing w:before="120" w:after="0"/>
        <w:ind w:hanging="357" w:left="357"/>
        <w:jc w:val="both"/>
        <w:rPr>
          <w:rFonts w:ascii="Tahoma" w:hAnsi="Tahoma" w:cs="Tahoma"/>
          <w:sz w:val="22"/>
          <w:szCs w:val="22"/>
        </w:rPr>
      </w:pPr>
      <w:r>
        <w:rPr>
          <w:rFonts w:cs="Tahoma" w:ascii="Tahoma" w:hAnsi="Tahoma"/>
          <w:sz w:val="22"/>
          <w:szCs w:val="22"/>
        </w:rPr>
        <w:t>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objednatel. Zápis bude obsahovat jména a podpisy oprávněných zástupců smluvních stran.</w:t>
      </w:r>
    </w:p>
    <w:p>
      <w:pPr>
        <w:pStyle w:val="Normal"/>
        <w:widowControl w:val="false"/>
        <w:numPr>
          <w:ilvl w:val="0"/>
          <w:numId w:val="8"/>
        </w:numPr>
        <w:tabs>
          <w:tab w:val="clear" w:pos="709"/>
        </w:tabs>
        <w:spacing w:before="120" w:after="0"/>
        <w:ind w:hanging="357" w:left="357"/>
        <w:jc w:val="both"/>
        <w:rPr>
          <w:rFonts w:ascii="Tahoma" w:hAnsi="Tahoma" w:cs="Tahoma"/>
          <w:sz w:val="22"/>
          <w:szCs w:val="22"/>
        </w:rPr>
      </w:pPr>
      <w:r>
        <w:rPr>
          <w:rFonts w:cs="Tahoma" w:ascii="Tahoma" w:hAnsi="Tahoma"/>
          <w:sz w:val="22"/>
          <w:szCs w:val="22"/>
        </w:rPr>
        <w:t>Smluvní strany tímto vylučují aplikaci ust. § 2605 odst. 2 občanského zákoníku na svůj právní vztah založený touto smlouvou.</w:t>
      </w:r>
    </w:p>
    <w:p>
      <w:pPr>
        <w:pStyle w:val="Normal"/>
        <w:keepNext w:val="true"/>
        <w:spacing w:before="360" w:after="0"/>
        <w:jc w:val="center"/>
        <w:rPr>
          <w:rFonts w:ascii="Tahoma" w:hAnsi="Tahoma" w:cs="Tahoma"/>
          <w:b/>
          <w:sz w:val="22"/>
          <w:szCs w:val="22"/>
        </w:rPr>
      </w:pPr>
      <w:r>
        <w:rPr>
          <w:rFonts w:cs="Tahoma" w:ascii="Tahoma" w:hAnsi="Tahoma"/>
          <w:b/>
          <w:sz w:val="22"/>
          <w:szCs w:val="22"/>
        </w:rPr>
        <w:t>X.</w:t>
        <w:br/>
        <w:t>Práva z vadného plnění, záruka za jakost</w:t>
      </w:r>
    </w:p>
    <w:p>
      <w:pPr>
        <w:pStyle w:val="Normal"/>
        <w:numPr>
          <w:ilvl w:val="0"/>
          <w:numId w:val="10"/>
        </w:numPr>
        <w:tabs>
          <w:tab w:val="clear" w:pos="709"/>
        </w:tabs>
        <w:spacing w:before="120" w:after="0"/>
        <w:ind w:hanging="357" w:left="357"/>
        <w:jc w:val="both"/>
        <w:rPr>
          <w:rFonts w:ascii="Tahoma" w:hAnsi="Tahoma" w:cs="Tahoma"/>
          <w:sz w:val="22"/>
          <w:szCs w:val="22"/>
        </w:rPr>
      </w:pPr>
      <w:r>
        <w:rPr>
          <w:rFonts w:cs="Tahoma" w:ascii="Tahoma" w:hAnsi="Tahoma"/>
          <w:sz w:val="22"/>
          <w:szCs w:val="22"/>
        </w:rPr>
        <w:t>Dílo má vadu, jestliže neodpovídá požadavkům uvedeným v této smlouvě.</w:t>
      </w:r>
    </w:p>
    <w:p>
      <w:pPr>
        <w:pStyle w:val="Normal"/>
        <w:numPr>
          <w:ilvl w:val="0"/>
          <w:numId w:val="10"/>
        </w:numPr>
        <w:tabs>
          <w:tab w:val="clear" w:pos="709"/>
        </w:tabs>
        <w:spacing w:before="120" w:after="0"/>
        <w:ind w:hanging="357" w:left="357"/>
        <w:jc w:val="both"/>
        <w:rPr>
          <w:rFonts w:ascii="Tahoma" w:hAnsi="Tahoma" w:cs="Tahoma"/>
          <w:sz w:val="22"/>
          <w:szCs w:val="22"/>
        </w:rPr>
      </w:pPr>
      <w:r>
        <w:rPr>
          <w:rFonts w:cs="Tahoma" w:ascii="Tahoma" w:hAnsi="Tahoma"/>
          <w:sz w:val="22"/>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noBreakHyphen/>
        <w:t>li se vada v průběhu 6 měsíců od převzetí díla objednatelem, má se zato, že dílo bylo vadné již při převzetí, neprokáže-li zhotovitel opak.</w:t>
      </w:r>
    </w:p>
    <w:p>
      <w:pPr>
        <w:pStyle w:val="Normal"/>
        <w:numPr>
          <w:ilvl w:val="0"/>
          <w:numId w:val="10"/>
        </w:numPr>
        <w:tabs>
          <w:tab w:val="clear" w:pos="709"/>
        </w:tabs>
        <w:spacing w:before="120" w:after="0"/>
        <w:ind w:hanging="357" w:left="357"/>
        <w:jc w:val="both"/>
        <w:rPr>
          <w:rFonts w:ascii="Tahoma" w:hAnsi="Tahoma" w:cs="Tahoma"/>
          <w:sz w:val="22"/>
          <w:szCs w:val="22"/>
        </w:rPr>
      </w:pPr>
      <w:r>
        <w:rPr>
          <w:rFonts w:cs="Tahoma" w:ascii="Tahoma" w:hAnsi="Tahoma"/>
          <w:sz w:val="22"/>
          <w:szCs w:val="22"/>
        </w:rPr>
        <w:t>Zhotovitel poskytuje objednateli na provedené dílo záruku za jakost (dále jen „záruka“) ve smyslu § 2619 a § 2113 a násl. občanského zákoníku, a to v délce 60 měsíců na provedené práce a dodávky (dále též „záruční doba“).</w:t>
      </w:r>
    </w:p>
    <w:p>
      <w:pPr>
        <w:pStyle w:val="Normal"/>
        <w:spacing w:before="120" w:after="0"/>
        <w:ind w:left="357"/>
        <w:jc w:val="both"/>
        <w:rPr>
          <w:rFonts w:ascii="Tahoma" w:hAnsi="Tahoma" w:cs="Tahoma"/>
          <w:sz w:val="22"/>
          <w:szCs w:val="22"/>
        </w:rPr>
      </w:pPr>
      <w:r>
        <w:rPr>
          <w:rFonts w:cs="Tahoma" w:ascii="Tahoma" w:hAnsi="Tahoma"/>
          <w:sz w:val="22"/>
          <w:szCs w:val="22"/>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pPr>
        <w:pStyle w:val="Normal"/>
        <w:numPr>
          <w:ilvl w:val="0"/>
          <w:numId w:val="10"/>
        </w:numPr>
        <w:tabs>
          <w:tab w:val="clear" w:pos="709"/>
        </w:tabs>
        <w:spacing w:before="120" w:after="0"/>
        <w:ind w:hanging="357" w:left="357"/>
        <w:jc w:val="both"/>
        <w:rPr>
          <w:rFonts w:ascii="Tahoma" w:hAnsi="Tahoma" w:cs="Tahoma"/>
          <w:sz w:val="22"/>
          <w:szCs w:val="22"/>
        </w:rPr>
      </w:pPr>
      <w:r>
        <w:rPr>
          <w:rFonts w:cs="Tahoma" w:ascii="Tahoma" w:hAnsi="Tahoma"/>
          <w:sz w:val="22"/>
          <w:szCs w:val="22"/>
        </w:rPr>
        <w:t>Vady a nedodělky díla z vadného plnění a  dále také vady, které se projeví během záruční doby, budou zhotovitelem odstraněny bezplatně, a to včetně všech potřebných náhradních dílů a dalšího materiálu.</w:t>
      </w:r>
    </w:p>
    <w:p>
      <w:pPr>
        <w:pStyle w:val="Normal"/>
        <w:numPr>
          <w:ilvl w:val="0"/>
          <w:numId w:val="10"/>
        </w:numPr>
        <w:tabs>
          <w:tab w:val="clear" w:pos="709"/>
        </w:tabs>
        <w:spacing w:before="120" w:after="0"/>
        <w:ind w:hanging="357" w:left="357"/>
        <w:jc w:val="both"/>
        <w:rPr>
          <w:rFonts w:ascii="Tahoma" w:hAnsi="Tahoma" w:cs="Tahoma"/>
          <w:sz w:val="22"/>
          <w:szCs w:val="22"/>
        </w:rPr>
      </w:pPr>
      <w:r>
        <w:rPr>
          <w:rFonts w:cs="Tahoma" w:ascii="Tahoma" w:hAnsi="Tahoma"/>
          <w:sz w:val="22"/>
          <w:szCs w:val="22"/>
        </w:rPr>
        <w:t>Veškeré vady díla bude objednatel povinen uplatnit u zhotovitele bez zbytečného odkladu poté, kdy vadu zjistil, a to formou písemného oznámení (za písemné oznámení se považuje i oznámení e</w:t>
        <w:noBreakHyphen/>
        <w:t>mailem), obsahujícího specifikaci zjištěné vady. Objednatel bude vady díla oznamovat na:</w:t>
      </w:r>
    </w:p>
    <w:p>
      <w:pPr>
        <w:pStyle w:val="Smlouva-slo1"/>
        <w:numPr>
          <w:ilvl w:val="1"/>
          <w:numId w:val="10"/>
        </w:numPr>
        <w:tabs>
          <w:tab w:val="clear" w:pos="709"/>
          <w:tab w:val="left" w:pos="720" w:leader="none"/>
          <w:tab w:val="left" w:pos="3119" w:leader="none"/>
        </w:tabs>
        <w:spacing w:lineRule="auto" w:line="240" w:before="60" w:after="0"/>
        <w:ind w:hanging="357" w:left="714"/>
        <w:jc w:val="left"/>
        <w:rPr>
          <w:rFonts w:ascii="Tahoma" w:hAnsi="Tahoma" w:cs="Tahoma"/>
          <w:sz w:val="22"/>
          <w:szCs w:val="22"/>
        </w:rPr>
      </w:pPr>
      <w:r>
        <w:rPr>
          <w:rFonts w:cs="Tahoma" w:ascii="Tahoma" w:hAnsi="Tahoma"/>
          <w:sz w:val="22"/>
          <w:szCs w:val="22"/>
        </w:rPr>
        <w:t>e</w:t>
        <w:noBreakHyphen/>
      </w:r>
      <w:r>
        <w:rPr>
          <w:rFonts w:cs="Tahoma" w:ascii="Tahoma" w:hAnsi="Tahoma"/>
          <w:bCs/>
          <w:sz w:val="22"/>
          <w:szCs w:val="22"/>
        </w:rPr>
        <w:t>mail</w:t>
      </w:r>
      <w:r>
        <w:rPr>
          <w:rFonts w:cs="Tahoma" w:ascii="Tahoma" w:hAnsi="Tahoma"/>
          <w:sz w:val="22"/>
          <w:szCs w:val="22"/>
        </w:rPr>
        <w:t>:</w:t>
        <w:tab/>
      </w:r>
      <w:r>
        <w:rPr>
          <w:rFonts w:cs="Tahoma" w:ascii="Tahoma" w:hAnsi="Tahoma"/>
          <w:bCs/>
          <w:sz w:val="22"/>
          <w:szCs w:val="22"/>
        </w:rPr>
        <w:t>…………………………, nebo</w:t>
      </w:r>
    </w:p>
    <w:p>
      <w:pPr>
        <w:pStyle w:val="Smlouva-slo1"/>
        <w:numPr>
          <w:ilvl w:val="1"/>
          <w:numId w:val="10"/>
        </w:numPr>
        <w:tabs>
          <w:tab w:val="clear" w:pos="709"/>
          <w:tab w:val="left" w:pos="720" w:leader="none"/>
          <w:tab w:val="left" w:pos="3119" w:leader="none"/>
        </w:tabs>
        <w:spacing w:lineRule="auto" w:line="240" w:before="60" w:after="0"/>
        <w:ind w:hanging="357" w:left="714"/>
        <w:jc w:val="left"/>
        <w:rPr>
          <w:rFonts w:ascii="Tahoma" w:hAnsi="Tahoma" w:cs="Tahoma"/>
          <w:sz w:val="22"/>
          <w:szCs w:val="22"/>
        </w:rPr>
      </w:pPr>
      <w:r>
        <w:rPr>
          <w:rFonts w:cs="Tahoma" w:ascii="Tahoma" w:hAnsi="Tahoma"/>
          <w:bCs/>
          <w:sz w:val="22"/>
          <w:szCs w:val="22"/>
        </w:rPr>
        <w:t>adresu</w:t>
      </w:r>
      <w:r>
        <w:rPr>
          <w:rFonts w:cs="Tahoma" w:ascii="Tahoma" w:hAnsi="Tahoma"/>
          <w:sz w:val="22"/>
          <w:szCs w:val="22"/>
        </w:rPr>
        <w:t>:</w:t>
        <w:tab/>
      </w:r>
      <w:r>
        <w:rPr>
          <w:rFonts w:cs="Tahoma" w:ascii="Tahoma" w:hAnsi="Tahoma"/>
          <w:bCs/>
          <w:sz w:val="22"/>
          <w:szCs w:val="22"/>
        </w:rPr>
        <w:t>…………………………, nebo</w:t>
      </w:r>
    </w:p>
    <w:p>
      <w:pPr>
        <w:pStyle w:val="Smlouva-slo1"/>
        <w:numPr>
          <w:ilvl w:val="1"/>
          <w:numId w:val="10"/>
        </w:numPr>
        <w:tabs>
          <w:tab w:val="clear" w:pos="709"/>
          <w:tab w:val="left" w:pos="720" w:leader="none"/>
          <w:tab w:val="left" w:pos="3119" w:leader="none"/>
        </w:tabs>
        <w:spacing w:lineRule="auto" w:line="240" w:before="60" w:after="0"/>
        <w:ind w:hanging="357" w:left="714"/>
        <w:jc w:val="left"/>
        <w:rPr>
          <w:rFonts w:ascii="Tahoma" w:hAnsi="Tahoma" w:cs="Tahoma"/>
          <w:sz w:val="22"/>
          <w:szCs w:val="22"/>
        </w:rPr>
      </w:pPr>
      <w:r>
        <w:rPr>
          <w:rFonts w:cs="Tahoma" w:ascii="Tahoma" w:hAnsi="Tahoma"/>
          <w:bCs/>
          <w:sz w:val="22"/>
          <w:szCs w:val="22"/>
        </w:rPr>
        <w:t>do datové schránky:</w:t>
        <w:tab/>
        <w:t xml:space="preserve">………………………… </w:t>
      </w:r>
      <w:r>
        <w:rPr>
          <w:rFonts w:cs="Tahoma" w:ascii="Tahoma" w:hAnsi="Tahoma"/>
          <w:i/>
          <w:iCs/>
          <w:color w:val="FF0000"/>
          <w:sz w:val="22"/>
          <w:szCs w:val="22"/>
        </w:rPr>
        <w:t>(doplní účastník/zhotovitel)</w:t>
      </w:r>
    </w:p>
    <w:p>
      <w:pPr>
        <w:pStyle w:val="Normal"/>
        <w:numPr>
          <w:ilvl w:val="0"/>
          <w:numId w:val="10"/>
        </w:numPr>
        <w:spacing w:before="120" w:after="0"/>
        <w:jc w:val="both"/>
        <w:rPr>
          <w:rFonts w:ascii="Tahoma" w:hAnsi="Tahoma" w:cs="Tahoma"/>
          <w:iCs/>
          <w:sz w:val="22"/>
          <w:szCs w:val="22"/>
        </w:rPr>
      </w:pPr>
      <w:r>
        <w:rPr>
          <w:rFonts w:cs="Tahoma" w:ascii="Tahoma" w:hAnsi="Tahoma"/>
          <w:sz w:val="22"/>
          <w:szCs w:val="22"/>
        </w:rPr>
        <w:t>Objednatel má právo na odstranění vady opravou; je</w:t>
        <w:noBreakHyphen/>
        <w:t>li vadné plnění podstatným porušením smlouvy, má také právo od smlouvy odstoupit. Právo volby plnění má objednatel.</w:t>
      </w:r>
    </w:p>
    <w:p>
      <w:pPr>
        <w:pStyle w:val="Normal"/>
        <w:numPr>
          <w:ilvl w:val="0"/>
          <w:numId w:val="10"/>
        </w:numPr>
        <w:tabs>
          <w:tab w:val="clear" w:pos="709"/>
        </w:tabs>
        <w:spacing w:before="120" w:after="0"/>
        <w:ind w:hanging="357" w:left="357"/>
        <w:jc w:val="both"/>
        <w:rPr>
          <w:rFonts w:ascii="Tahoma" w:hAnsi="Tahoma" w:cs="Tahoma"/>
          <w:sz w:val="22"/>
          <w:szCs w:val="22"/>
        </w:rPr>
      </w:pPr>
      <w:r>
        <w:rPr>
          <w:rFonts w:cs="Tahoma" w:ascii="Tahoma" w:hAnsi="Tahoma"/>
          <w:sz w:val="22"/>
          <w:szCs w:val="22"/>
        </w:rPr>
        <w:t>Zhotovitel započne s odstraněním vady nejpozději do </w:t>
      </w:r>
      <w:r>
        <w:rPr>
          <w:rFonts w:cs="Tahoma" w:ascii="Tahoma" w:hAnsi="Tahoma"/>
          <w:bCs/>
          <w:sz w:val="22"/>
          <w:szCs w:val="22"/>
        </w:rPr>
        <w:t>5</w:t>
      </w:r>
      <w:r>
        <w:rPr>
          <w:rFonts w:cs="Tahoma" w:ascii="Tahoma" w:hAnsi="Tahoma"/>
          <w:sz w:val="22"/>
          <w:szCs w:val="22"/>
        </w:rPr>
        <w:t xml:space="preserve"> pracovních </w:t>
      </w:r>
      <w:r>
        <w:rPr>
          <w:rFonts w:cs="Tahoma" w:ascii="Tahoma" w:hAnsi="Tahoma"/>
          <w:bCs/>
          <w:sz w:val="22"/>
          <w:szCs w:val="22"/>
        </w:rPr>
        <w:t>dnů</w:t>
      </w:r>
      <w:r>
        <w:rPr>
          <w:rFonts w:cs="Tahoma" w:ascii="Tahoma" w:hAnsi="Tahoma"/>
          <w:sz w:val="22"/>
          <w:szCs w:val="22"/>
        </w:rPr>
        <w:t xml:space="preserve"> od doručení oznámení o vadě, pokud se smluvní strany nedohodnou písemně jinak. V případě havárie započne s odstraněním vady neodkladně, nejpozději do </w:t>
      </w:r>
      <w:r>
        <w:rPr>
          <w:rFonts w:cs="Tahoma" w:ascii="Tahoma" w:hAnsi="Tahoma"/>
          <w:bCs/>
          <w:sz w:val="22"/>
          <w:szCs w:val="22"/>
        </w:rPr>
        <w:t xml:space="preserve">12 hodin </w:t>
      </w:r>
      <w:r>
        <w:rPr>
          <w:rFonts w:cs="Tahoma" w:ascii="Tahoma" w:hAnsi="Tahoma"/>
          <w:sz w:val="22"/>
          <w:szCs w:val="22"/>
        </w:rPr>
        <w:t>od doručení oznámení o vadě. Nezapočne</w:t>
        <w:noBreakHyphen/>
        <w:t>li zhotovitel s odstraněním vady ve stanovené lhůtě, je objednatel oprávněn zajistit odstranění vady na náklady zhotovitele u jiné odborné osoby. Vada bude odstraněna nejpozději do </w:t>
      </w:r>
      <w:r>
        <w:rPr>
          <w:rFonts w:cs="Tahoma" w:ascii="Tahoma" w:hAnsi="Tahoma"/>
          <w:bCs/>
          <w:sz w:val="22"/>
          <w:szCs w:val="22"/>
        </w:rPr>
        <w:t xml:space="preserve">10 pracovních dnů </w:t>
      </w:r>
      <w:r>
        <w:rPr>
          <w:rFonts w:cs="Tahoma" w:ascii="Tahoma" w:hAnsi="Tahoma"/>
          <w:sz w:val="22"/>
          <w:szCs w:val="22"/>
        </w:rPr>
        <w:t>ode dne doručení oznámení o vadě</w:t>
      </w:r>
      <w:r>
        <w:rPr>
          <w:rFonts w:cs="Tahoma" w:ascii="Tahoma" w:hAnsi="Tahoma"/>
          <w:iCs/>
          <w:sz w:val="22"/>
          <w:szCs w:val="22"/>
        </w:rPr>
        <w:t>,</w:t>
      </w:r>
      <w:r>
        <w:rPr>
          <w:rFonts w:cs="Tahoma" w:ascii="Tahoma" w:hAnsi="Tahoma"/>
          <w:sz w:val="22"/>
          <w:szCs w:val="22"/>
        </w:rPr>
        <w:t xml:space="preserve"> v případě havárie nejpozději do </w:t>
      </w:r>
      <w:r>
        <w:rPr>
          <w:rFonts w:cs="Tahoma" w:ascii="Tahoma" w:hAnsi="Tahoma"/>
          <w:bCs/>
          <w:sz w:val="22"/>
          <w:szCs w:val="22"/>
        </w:rPr>
        <w:t>72</w:t>
      </w:r>
      <w:r>
        <w:rPr>
          <w:rFonts w:cs="Tahoma" w:ascii="Tahoma" w:hAnsi="Tahoma"/>
          <w:b/>
          <w:sz w:val="22"/>
          <w:szCs w:val="22"/>
        </w:rPr>
        <w:t xml:space="preserve"> </w:t>
      </w:r>
      <w:r>
        <w:rPr>
          <w:rFonts w:cs="Tahoma" w:ascii="Tahoma" w:hAnsi="Tahoma"/>
          <w:bCs/>
          <w:sz w:val="22"/>
          <w:szCs w:val="22"/>
        </w:rPr>
        <w:t xml:space="preserve">hodin </w:t>
      </w:r>
      <w:r>
        <w:rPr>
          <w:rFonts w:cs="Tahoma" w:ascii="Tahoma" w:hAnsi="Tahoma"/>
          <w:sz w:val="22"/>
          <w:szCs w:val="22"/>
        </w:rPr>
        <w:t>od doručení oznámení o vadě, pokud se smluvní strany nedohodnou písemně jinak. K dohodám dle tohoto odstavce je oprávněna pouze osoba oprávněná jednat za objednatele.</w:t>
      </w:r>
    </w:p>
    <w:p>
      <w:pPr>
        <w:pStyle w:val="Normal"/>
        <w:numPr>
          <w:ilvl w:val="0"/>
          <w:numId w:val="10"/>
        </w:numPr>
        <w:tabs>
          <w:tab w:val="clear" w:pos="709"/>
        </w:tabs>
        <w:spacing w:before="120" w:after="0"/>
        <w:ind w:hanging="357" w:left="357"/>
        <w:jc w:val="both"/>
        <w:rPr>
          <w:rFonts w:ascii="Tahoma" w:hAnsi="Tahoma" w:cs="Tahoma"/>
          <w:b/>
          <w:sz w:val="22"/>
          <w:szCs w:val="22"/>
        </w:rPr>
      </w:pPr>
      <w:r>
        <w:rPr>
          <w:rFonts w:cs="Tahoma" w:ascii="Tahoma" w:hAnsi="Tahoma"/>
          <w:sz w:val="22"/>
          <w:szCs w:val="22"/>
        </w:rPr>
        <w:t>Provedenou opravu vady zhotovitel objednateli předá písemně. Na provedenou opravu poskytne zhotovitel záruku za jakost v délce shodné s délkou sjednané záruky na dílo dle této smlouvy.</w:t>
      </w:r>
    </w:p>
    <w:p>
      <w:pPr>
        <w:pStyle w:val="Normal"/>
        <w:numPr>
          <w:ilvl w:val="0"/>
          <w:numId w:val="10"/>
        </w:numPr>
        <w:tabs>
          <w:tab w:val="clear" w:pos="709"/>
        </w:tabs>
        <w:spacing w:before="120" w:after="0"/>
        <w:ind w:hanging="357" w:left="357"/>
        <w:jc w:val="both"/>
        <w:rPr>
          <w:rFonts w:ascii="Tahoma" w:hAnsi="Tahoma" w:cs="Tahoma"/>
          <w:b/>
          <w:sz w:val="22"/>
          <w:szCs w:val="22"/>
        </w:rPr>
      </w:pPr>
      <w:r>
        <w:rPr>
          <w:rFonts w:cs="Tahoma" w:ascii="Tahoma" w:hAnsi="Tahoma"/>
          <w:sz w:val="22"/>
          <w:szCs w:val="22"/>
        </w:rPr>
        <w:t xml:space="preserve">Servisní práce budou prováděny dle výrobcem předepsaného harmonogramu, avšak nejméně 1 ročně. Servisní práce budou probíhat v místě plnění, přičemž zhotovitel je povinen objednateli oznámit plánovaný servis nejméně 14 dnů předem a upravit termín servisu provozním požadavkům objednatele. </w:t>
      </w:r>
    </w:p>
    <w:p>
      <w:pPr>
        <w:pStyle w:val="Normal"/>
        <w:keepNext w:val="true"/>
        <w:spacing w:before="360" w:after="0"/>
        <w:jc w:val="center"/>
        <w:rPr>
          <w:rFonts w:ascii="Tahoma" w:hAnsi="Tahoma" w:cs="Tahoma"/>
          <w:b/>
          <w:sz w:val="22"/>
          <w:szCs w:val="22"/>
        </w:rPr>
      </w:pPr>
      <w:r>
        <w:rPr>
          <w:rFonts w:cs="Tahoma" w:ascii="Tahoma" w:hAnsi="Tahoma"/>
          <w:b/>
          <w:sz w:val="22"/>
          <w:szCs w:val="22"/>
        </w:rPr>
        <w:t>XI.</w:t>
        <w:br/>
        <w:t>Vlastnické právo, nebezpečí škody</w:t>
      </w:r>
    </w:p>
    <w:p>
      <w:pPr>
        <w:pStyle w:val="Smlouva-slo1"/>
        <w:numPr>
          <w:ilvl w:val="0"/>
          <w:numId w:val="11"/>
        </w:numPr>
        <w:spacing w:lineRule="auto" w:line="240"/>
        <w:rPr>
          <w:rFonts w:ascii="Tahoma" w:hAnsi="Tahoma" w:cs="Tahoma"/>
          <w:sz w:val="22"/>
          <w:szCs w:val="22"/>
        </w:rPr>
      </w:pPr>
      <w:r>
        <w:rPr>
          <w:rFonts w:cs="Tahoma" w:ascii="Tahoma" w:hAnsi="Tahoma"/>
          <w:sz w:val="22"/>
          <w:szCs w:val="22"/>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pPr>
        <w:pStyle w:val="Smlouva-slo1"/>
        <w:numPr>
          <w:ilvl w:val="0"/>
          <w:numId w:val="11"/>
        </w:numPr>
        <w:tabs>
          <w:tab w:val="clear" w:pos="709"/>
        </w:tabs>
        <w:spacing w:lineRule="auto" w:line="240"/>
        <w:ind w:hanging="357" w:left="357"/>
        <w:rPr>
          <w:rFonts w:ascii="Tahoma" w:hAnsi="Tahoma" w:cs="Tahoma"/>
          <w:sz w:val="22"/>
          <w:szCs w:val="22"/>
        </w:rPr>
      </w:pPr>
      <w:r>
        <w:rPr>
          <w:rFonts w:cs="Tahoma" w:ascii="Tahoma" w:hAnsi="Tahoma"/>
          <w:sz w:val="22"/>
          <w:szCs w:val="22"/>
        </w:rPr>
        <w:t>Zhotovitel je povinen učinit veškerá opatření potřebná k odvrácení škody nebo k jejímu zmírnění.</w:t>
      </w:r>
    </w:p>
    <w:p>
      <w:pPr>
        <w:pStyle w:val="Smlouva-slo1"/>
        <w:numPr>
          <w:ilvl w:val="0"/>
          <w:numId w:val="11"/>
        </w:numPr>
        <w:tabs>
          <w:tab w:val="clear" w:pos="709"/>
        </w:tabs>
        <w:spacing w:lineRule="auto" w:line="240"/>
        <w:ind w:hanging="357" w:left="357"/>
        <w:rPr>
          <w:rFonts w:ascii="Tahoma" w:hAnsi="Tahoma" w:cs="Tahoma"/>
          <w:sz w:val="22"/>
          <w:szCs w:val="22"/>
        </w:rPr>
      </w:pPr>
      <w:r>
        <w:rPr>
          <w:rFonts w:cs="Tahoma" w:ascii="Tahoma" w:hAnsi="Tahoma"/>
          <w:sz w:val="22"/>
          <w:szCs w:val="22"/>
        </w:rPr>
        <w:t>Zhotovitel je povinen nahradit objednateli v plné výši škodu, která vznikla při realizaci a užívání díla v souvislosti nebo jako důsledek porušení povinností a závazků zhotovitele dle této smlouvy.</w:t>
      </w:r>
    </w:p>
    <w:p>
      <w:pPr>
        <w:pStyle w:val="Smlouva-slo1"/>
        <w:numPr>
          <w:ilvl w:val="0"/>
          <w:numId w:val="11"/>
        </w:numPr>
        <w:tabs>
          <w:tab w:val="clear" w:pos="709"/>
        </w:tabs>
        <w:spacing w:lineRule="auto" w:line="240"/>
        <w:ind w:hanging="357" w:left="357"/>
        <w:rPr>
          <w:rFonts w:ascii="Tahoma" w:hAnsi="Tahoma" w:cs="Tahoma"/>
          <w:sz w:val="22"/>
          <w:szCs w:val="22"/>
        </w:rPr>
      </w:pPr>
      <w:r>
        <w:rPr>
          <w:rFonts w:cs="Tahoma" w:ascii="Tahoma" w:hAnsi="Tahoma"/>
          <w:sz w:val="22"/>
          <w:szCs w:val="22"/>
        </w:rPr>
        <w:t>Zhotovitel se zavazuje, že po celou dobu realizace díla až do okamžiku převzetí díla objednatelem a odstranění případných vad a nedodělků, s nimiž bylo dílo převzato, bude mít na vlastní náklady sjednáno pojištění odpovědnosti za škodu způsobenou třetím osobám vyplývající z dodávaného předmětu plnění s limitem min. 5 mil. Kč. Pojištění musí obsahovat krytí škod způsobené na majetku a zdraví třetích osob.</w:t>
      </w:r>
    </w:p>
    <w:p>
      <w:pPr>
        <w:pStyle w:val="Smlouva-slo1"/>
        <w:numPr>
          <w:ilvl w:val="0"/>
          <w:numId w:val="11"/>
        </w:numPr>
        <w:tabs>
          <w:tab w:val="clear" w:pos="709"/>
        </w:tabs>
        <w:spacing w:lineRule="auto" w:line="240"/>
        <w:ind w:hanging="357" w:left="357"/>
        <w:rPr>
          <w:rFonts w:ascii="Tahoma" w:hAnsi="Tahoma" w:cs="Tahoma"/>
          <w:sz w:val="22"/>
          <w:szCs w:val="22"/>
        </w:rPr>
      </w:pPr>
      <w:r>
        <w:rPr>
          <w:rFonts w:cs="Tahoma" w:ascii="Tahoma" w:hAnsi="Tahoma"/>
          <w:sz w:val="22"/>
          <w:szCs w:val="22"/>
        </w:rPr>
        <w:t>Zhotovitel je povinen předat objednateli při podpisu této smlouvy a dále na vyžádání objednatelem kdykoliv v průběhu provádění díla kopie pojistných smluv na požadovaná pojištění dle této smlouvy, včetně všech dodatků nebo certifikáty příslušných pojišťoven prokazující existenci pojištění po celou dobu provádění díla (dobu trvání pojištění, jeho rozsah, pojištěná rizika, pojistné částky, roční limity a sublimity plnění a výši spoluúčasti). Certifikát dle předchozí věty nesmí být starší jednoho měsíce.</w:t>
      </w:r>
    </w:p>
    <w:p>
      <w:pPr>
        <w:pStyle w:val="Normal"/>
        <w:keepNext w:val="true"/>
        <w:spacing w:before="360" w:after="0"/>
        <w:jc w:val="center"/>
        <w:rPr>
          <w:rFonts w:ascii="Tahoma" w:hAnsi="Tahoma" w:cs="Tahoma"/>
          <w:b/>
          <w:sz w:val="22"/>
          <w:szCs w:val="22"/>
        </w:rPr>
      </w:pPr>
      <w:r>
        <w:rPr>
          <w:rFonts w:cs="Tahoma" w:ascii="Tahoma" w:hAnsi="Tahoma"/>
          <w:b/>
          <w:sz w:val="22"/>
          <w:szCs w:val="22"/>
        </w:rPr>
        <w:t>XII.</w:t>
        <w:br/>
        <w:t>Sankční ujednání</w:t>
      </w:r>
    </w:p>
    <w:p>
      <w:pPr>
        <w:pStyle w:val="Normal"/>
        <w:numPr>
          <w:ilvl w:val="0"/>
          <w:numId w:val="13"/>
        </w:numPr>
        <w:tabs>
          <w:tab w:val="clear" w:pos="709"/>
        </w:tabs>
        <w:spacing w:before="120" w:after="0"/>
        <w:jc w:val="both"/>
        <w:rPr>
          <w:rFonts w:ascii="Tahoma" w:hAnsi="Tahoma" w:cs="Tahoma"/>
          <w:sz w:val="22"/>
          <w:szCs w:val="22"/>
        </w:rPr>
      </w:pPr>
      <w:r>
        <w:rPr>
          <w:rFonts w:cs="Tahoma" w:ascii="Tahoma" w:hAnsi="Tahoma"/>
          <w:sz w:val="22"/>
          <w:szCs w:val="22"/>
        </w:rPr>
        <w:t>V případě, že bude zhotovitel v prodlení s provedením díla v době plnění dle čl. IV odst. 1 této smlouvy, je povinen zaplatit objednateli smluvní pokutu ve výši 0,05 % z ceny za dílo bez DPH za každý i započatý den prodlení.</w:t>
      </w:r>
    </w:p>
    <w:p>
      <w:pPr>
        <w:pStyle w:val="Normal"/>
        <w:numPr>
          <w:ilvl w:val="0"/>
          <w:numId w:val="13"/>
        </w:numPr>
        <w:tabs>
          <w:tab w:val="clear" w:pos="709"/>
        </w:tabs>
        <w:spacing w:before="120" w:after="0"/>
        <w:jc w:val="both"/>
        <w:rPr>
          <w:rFonts w:ascii="Tahoma" w:hAnsi="Tahoma" w:cs="Tahoma"/>
          <w:sz w:val="22"/>
          <w:szCs w:val="22"/>
        </w:rPr>
      </w:pPr>
      <w:r>
        <w:rPr>
          <w:rFonts w:cs="Tahoma" w:ascii="Tahoma" w:hAnsi="Tahoma"/>
          <w:sz w:val="22"/>
          <w:szCs w:val="22"/>
        </w:rPr>
        <w:t>V případě, že zhotovitel neodstraní všechny drobné vady a nedodělky, s nimiž bylo dílo převzato, ve lhůtě dle čl. IX odst. 6 této smlouvy, je povinen zaplatit objednateli smluvní pokutu ve výši 0,01 % z ceny za dílo bez DPH za každý i započatý den prodlení.</w:t>
      </w:r>
    </w:p>
    <w:p>
      <w:pPr>
        <w:pStyle w:val="Normal"/>
        <w:numPr>
          <w:ilvl w:val="0"/>
          <w:numId w:val="13"/>
        </w:numPr>
        <w:tabs>
          <w:tab w:val="clear" w:pos="709"/>
        </w:tabs>
        <w:spacing w:before="120" w:after="0"/>
        <w:jc w:val="both"/>
        <w:rPr>
          <w:rFonts w:ascii="Tahoma" w:hAnsi="Tahoma" w:cs="Tahoma"/>
          <w:sz w:val="22"/>
          <w:szCs w:val="22"/>
        </w:rPr>
      </w:pPr>
      <w:r>
        <w:rPr>
          <w:rFonts w:cs="Tahoma" w:ascii="Tahoma" w:hAnsi="Tahoma"/>
          <w:sz w:val="22"/>
          <w:szCs w:val="22"/>
        </w:rPr>
        <w:t xml:space="preserve">V případě, že zhotovitel neprovede servisní zásah ve stanoveném termínu, je povinen zaplatit objednateli smluvní pokutu ve výši 10.000,- Kč za každý případ. </w:t>
      </w:r>
    </w:p>
    <w:p>
      <w:pPr>
        <w:pStyle w:val="Normal"/>
        <w:numPr>
          <w:ilvl w:val="0"/>
          <w:numId w:val="13"/>
        </w:numPr>
        <w:tabs>
          <w:tab w:val="clear" w:pos="709"/>
        </w:tabs>
        <w:spacing w:before="120" w:after="0"/>
        <w:jc w:val="both"/>
        <w:rPr>
          <w:rFonts w:ascii="Tahoma" w:hAnsi="Tahoma" w:cs="Tahoma"/>
          <w:sz w:val="22"/>
          <w:szCs w:val="22"/>
        </w:rPr>
      </w:pPr>
      <w:r>
        <w:rPr>
          <w:rFonts w:cs="Tahoma" w:ascii="Tahoma" w:hAnsi="Tahoma"/>
          <w:sz w:val="22"/>
          <w:szCs w:val="22"/>
        </w:rPr>
        <w:t>Pro případ prodlení se zaplacením ceny za dílo sjednávají smluvní strany úrok z prodlení ve výši stanovené občanskoprávními předpisy.</w:t>
      </w:r>
    </w:p>
    <w:p>
      <w:pPr>
        <w:pStyle w:val="Normal"/>
        <w:numPr>
          <w:ilvl w:val="0"/>
          <w:numId w:val="13"/>
        </w:numPr>
        <w:tabs>
          <w:tab w:val="clear" w:pos="709"/>
        </w:tabs>
        <w:spacing w:before="120" w:after="0"/>
        <w:jc w:val="both"/>
        <w:rPr>
          <w:rFonts w:ascii="Tahoma" w:hAnsi="Tahoma" w:cs="Tahoma"/>
          <w:sz w:val="22"/>
          <w:szCs w:val="22"/>
        </w:rPr>
      </w:pPr>
      <w:r>
        <w:rPr>
          <w:rFonts w:cs="Tahoma" w:ascii="Tahoma" w:hAnsi="Tahoma"/>
          <w:sz w:val="22"/>
          <w:szCs w:val="22"/>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místě plnění je zhotovitel povinen zaplatit objednateli smluvní pokutu ve výši 3.000 Kč za každý zjištěný případ.</w:t>
      </w:r>
    </w:p>
    <w:p>
      <w:pPr>
        <w:pStyle w:val="Normal"/>
        <w:numPr>
          <w:ilvl w:val="0"/>
          <w:numId w:val="13"/>
        </w:numPr>
        <w:tabs>
          <w:tab w:val="clear" w:pos="709"/>
        </w:tabs>
        <w:spacing w:before="120" w:after="0"/>
        <w:jc w:val="both"/>
        <w:rPr>
          <w:rFonts w:ascii="Tahoma" w:hAnsi="Tahoma" w:cs="Tahoma"/>
          <w:iCs/>
          <w:sz w:val="22"/>
          <w:szCs w:val="22"/>
        </w:rPr>
      </w:pPr>
      <w:r>
        <w:rPr>
          <w:rFonts w:cs="Tahoma" w:ascii="Tahoma" w:hAnsi="Tahoma"/>
          <w:sz w:val="22"/>
          <w:szCs w:val="22"/>
        </w:rPr>
        <w:t>V případě prodlení zhotovitele s odstraněním vady ve lhůtě dle čl. X odst. 7 této smlouvy je zhotovitel povinen zaplatit objednateli smluvní pokutu ve výši 0,05 % z ceny za dílo bez DPH za každý i započatý den prodlení.</w:t>
      </w:r>
    </w:p>
    <w:p>
      <w:pPr>
        <w:pStyle w:val="Normal"/>
        <w:numPr>
          <w:ilvl w:val="0"/>
          <w:numId w:val="13"/>
        </w:numPr>
        <w:tabs>
          <w:tab w:val="clear" w:pos="709"/>
        </w:tabs>
        <w:spacing w:before="120" w:after="0"/>
        <w:jc w:val="both"/>
        <w:rPr>
          <w:rFonts w:ascii="Tahoma" w:hAnsi="Tahoma" w:cs="Tahoma"/>
          <w:sz w:val="22"/>
          <w:szCs w:val="22"/>
        </w:rPr>
      </w:pPr>
      <w:r>
        <w:rPr>
          <w:rFonts w:cs="Tahoma" w:ascii="Tahoma" w:hAnsi="Tahoma"/>
          <w:sz w:val="22"/>
          <w:szCs w:val="22"/>
        </w:rPr>
        <w:t>V případě, že se zhotovitel opakovaně (za opakovaně se přitom považuje nejméně dvakrát) nebude řídit podklady nebo prokazatelně uloženými pokyny objednatele (tj. zejména pokyny zadanými písemně), nebo objednateli neposkytne požadovanou dokumentaci a informace, je povinen zaplatit objednateli smluvní pokutu ve výši 2.000 Kč za každý zjištěný případ.</w:t>
      </w:r>
    </w:p>
    <w:p>
      <w:pPr>
        <w:pStyle w:val="Normal"/>
        <w:numPr>
          <w:ilvl w:val="0"/>
          <w:numId w:val="13"/>
        </w:numPr>
        <w:tabs>
          <w:tab w:val="clear" w:pos="709"/>
        </w:tabs>
        <w:spacing w:before="120" w:after="0"/>
        <w:jc w:val="both"/>
        <w:rPr>
          <w:rFonts w:ascii="Tahoma" w:hAnsi="Tahoma" w:cs="Tahoma"/>
          <w:sz w:val="22"/>
          <w:szCs w:val="22"/>
        </w:rPr>
      </w:pPr>
      <w:r>
        <w:rPr>
          <w:rFonts w:cs="Tahoma" w:ascii="Tahoma" w:hAnsi="Tahoma"/>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pPr>
        <w:pStyle w:val="Normal"/>
        <w:numPr>
          <w:ilvl w:val="0"/>
          <w:numId w:val="13"/>
        </w:numPr>
        <w:tabs>
          <w:tab w:val="clear" w:pos="709"/>
        </w:tabs>
        <w:spacing w:before="120" w:after="0"/>
        <w:jc w:val="both"/>
        <w:rPr>
          <w:rFonts w:ascii="Tahoma" w:hAnsi="Tahoma" w:cs="Tahoma"/>
          <w:sz w:val="22"/>
          <w:szCs w:val="22"/>
        </w:rPr>
      </w:pPr>
      <w:r>
        <w:rPr>
          <w:rFonts w:cs="Tahoma" w:ascii="Tahoma" w:hAnsi="Tahoma"/>
          <w:sz w:val="22"/>
          <w:szCs w:val="22"/>
        </w:rPr>
        <w:t>Sjednané smluvní pokuty zaplatí povinná strana nezávisle na zavinění a na tom, zda a v jaké výši vznikne druhé straně škoda.</w:t>
      </w:r>
    </w:p>
    <w:p>
      <w:pPr>
        <w:pStyle w:val="Normal"/>
        <w:numPr>
          <w:ilvl w:val="0"/>
          <w:numId w:val="13"/>
        </w:numPr>
        <w:tabs>
          <w:tab w:val="clear" w:pos="709"/>
        </w:tabs>
        <w:spacing w:before="120" w:after="0"/>
        <w:jc w:val="both"/>
        <w:rPr>
          <w:rFonts w:ascii="Tahoma" w:hAnsi="Tahoma" w:cs="Tahoma"/>
          <w:sz w:val="22"/>
          <w:szCs w:val="22"/>
        </w:rPr>
      </w:pPr>
      <w:r>
        <w:rPr>
          <w:rFonts w:cs="Tahoma" w:ascii="Tahoma" w:hAnsi="Tahoma"/>
          <w:sz w:val="22"/>
          <w:szCs w:val="22"/>
        </w:rPr>
        <w:t>Smluvní pokuty se nezapočítávají na náhradu případně vzniklé škody. Náhradu škody lze vymáhat samostatně vedle smluvní pokuty v plné výši.</w:t>
      </w:r>
    </w:p>
    <w:p>
      <w:pPr>
        <w:pStyle w:val="Normal"/>
        <w:keepNext w:val="true"/>
        <w:spacing w:before="360" w:after="0"/>
        <w:jc w:val="center"/>
        <w:rPr>
          <w:rFonts w:ascii="Tahoma" w:hAnsi="Tahoma" w:eastAsia="Tahoma" w:cs="Tahoma"/>
          <w:b/>
          <w:bCs/>
        </w:rPr>
      </w:pPr>
      <w:r>
        <w:rPr>
          <w:rFonts w:cs="Tahoma" w:ascii="Tahoma" w:hAnsi="Tahoma"/>
          <w:b/>
          <w:bCs/>
          <w:sz w:val="22"/>
          <w:szCs w:val="22"/>
        </w:rPr>
        <w:t>XIII.</w:t>
        <w:br/>
        <w:t xml:space="preserve">Sankce </w:t>
      </w:r>
      <w:r>
        <w:rPr>
          <w:rFonts w:cs="Tahoma" w:ascii="Tahoma" w:hAnsi="Tahoma"/>
          <w:b/>
          <w:sz w:val="22"/>
          <w:szCs w:val="22"/>
        </w:rPr>
        <w:t>vůči</w:t>
      </w:r>
      <w:r>
        <w:rPr>
          <w:rFonts w:cs="Tahoma" w:ascii="Tahoma" w:hAnsi="Tahoma"/>
          <w:b/>
          <w:bCs/>
          <w:sz w:val="22"/>
          <w:szCs w:val="22"/>
        </w:rPr>
        <w:t xml:space="preserve"> Rusku a Bělorusku</w:t>
      </w:r>
    </w:p>
    <w:p>
      <w:pPr>
        <w:pStyle w:val="Normal"/>
        <w:numPr>
          <w:ilvl w:val="0"/>
          <w:numId w:val="28"/>
        </w:numPr>
        <w:tabs>
          <w:tab w:val="clear" w:pos="709"/>
        </w:tabs>
        <w:spacing w:lineRule="auto" w:line="259" w:before="120" w:after="0"/>
        <w:ind w:hanging="357" w:left="357"/>
        <w:jc w:val="both"/>
        <w:rPr>
          <w:rFonts w:ascii="Tahoma" w:hAnsi="Tahoma" w:eastAsia="Tahoma" w:cs="Tahoma"/>
          <w:sz w:val="22"/>
          <w:szCs w:val="22"/>
        </w:rPr>
      </w:pPr>
      <w:r>
        <w:rPr>
          <w:rFonts w:cs="Tahoma" w:ascii="Tahoma" w:hAnsi="Tahoma"/>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pPr>
        <w:pStyle w:val="Normal"/>
        <w:numPr>
          <w:ilvl w:val="0"/>
          <w:numId w:val="28"/>
        </w:numPr>
        <w:tabs>
          <w:tab w:val="clear" w:pos="709"/>
        </w:tabs>
        <w:spacing w:lineRule="auto" w:line="259" w:before="120" w:after="0"/>
        <w:ind w:hanging="357" w:left="357"/>
        <w:jc w:val="both"/>
        <w:rPr>
          <w:rFonts w:ascii="Tahoma" w:hAnsi="Tahoma" w:eastAsia="Tahoma" w:cs="Tahoma"/>
          <w:sz w:val="22"/>
          <w:szCs w:val="22"/>
        </w:rPr>
      </w:pPr>
      <w:r>
        <w:rPr>
          <w:rFonts w:cs="Tahoma" w:ascii="Tahoma" w:hAnsi="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pPr>
        <w:pStyle w:val="Normal"/>
        <w:numPr>
          <w:ilvl w:val="0"/>
          <w:numId w:val="28"/>
        </w:numPr>
        <w:tabs>
          <w:tab w:val="clear" w:pos="709"/>
        </w:tabs>
        <w:spacing w:lineRule="auto" w:line="259" w:before="120" w:after="0"/>
        <w:ind w:hanging="357" w:left="357"/>
        <w:jc w:val="both"/>
        <w:rPr>
          <w:rFonts w:ascii="Tahoma" w:hAnsi="Tahoma" w:eastAsia="Tahoma" w:cs="Tahoma"/>
          <w:sz w:val="22"/>
          <w:szCs w:val="22"/>
        </w:rPr>
      </w:pPr>
      <w:r>
        <w:rPr>
          <w:rFonts w:cs="Tahoma" w:ascii="Tahoma" w:hAnsi="Tahoma"/>
          <w:sz w:val="22"/>
          <w:szCs w:val="22"/>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pPr>
        <w:pStyle w:val="Normal"/>
        <w:numPr>
          <w:ilvl w:val="0"/>
          <w:numId w:val="28"/>
        </w:numPr>
        <w:tabs>
          <w:tab w:val="clear" w:pos="709"/>
        </w:tabs>
        <w:spacing w:lineRule="auto" w:line="259" w:before="120" w:after="0"/>
        <w:ind w:hanging="357" w:left="357"/>
        <w:jc w:val="both"/>
        <w:rPr>
          <w:rFonts w:ascii="Tahoma" w:hAnsi="Tahoma" w:eastAsia="Tahoma" w:cs="Tahoma"/>
          <w:sz w:val="22"/>
          <w:szCs w:val="22"/>
        </w:rPr>
      </w:pPr>
      <w:r>
        <w:rPr>
          <w:rFonts w:eastAsia="Tahoma" w:cs="Tahoma" w:ascii="Tahoma" w:hAnsi="Tahoma"/>
          <w:sz w:val="22"/>
          <w:szCs w:val="22"/>
        </w:rPr>
        <w:t xml:space="preserve">Dojde-li k porušení pravidel dle odst. 1 tohoto článku smlouvy, je zhotovitel povinen zaplatit </w:t>
      </w:r>
      <w:r>
        <w:rPr>
          <w:rFonts w:cs="Tahoma" w:ascii="Tahoma" w:hAnsi="Tahoma"/>
          <w:sz w:val="22"/>
          <w:szCs w:val="22"/>
        </w:rPr>
        <w:t>objednateli</w:t>
      </w:r>
      <w:r>
        <w:rPr>
          <w:rFonts w:eastAsia="Tahoma" w:cs="Tahoma" w:ascii="Tahoma" w:hAnsi="Tahoma"/>
          <w:sz w:val="22"/>
          <w:szCs w:val="22"/>
        </w:rPr>
        <w:t xml:space="preserve"> smluvní pokutu ve výši 250.000 Kč, a to za každý jednotlivý případ porušení.</w:t>
      </w:r>
    </w:p>
    <w:p>
      <w:pPr>
        <w:pStyle w:val="Normal"/>
        <w:keepNext w:val="true"/>
        <w:spacing w:before="360" w:after="0"/>
        <w:jc w:val="center"/>
        <w:rPr>
          <w:rFonts w:ascii="Tahoma" w:hAnsi="Tahoma" w:cs="Tahoma"/>
          <w:b/>
          <w:sz w:val="22"/>
          <w:szCs w:val="22"/>
        </w:rPr>
      </w:pPr>
      <w:r>
        <w:rPr>
          <w:rFonts w:cs="Tahoma" w:ascii="Tahoma" w:hAnsi="Tahoma"/>
          <w:b/>
          <w:sz w:val="22"/>
          <w:szCs w:val="22"/>
        </w:rPr>
        <w:t>XIV.</w:t>
        <w:br/>
        <w:t>Zánik smlouvy</w:t>
      </w:r>
    </w:p>
    <w:p>
      <w:pPr>
        <w:pStyle w:val="Smlouva-slo1"/>
        <w:numPr>
          <w:ilvl w:val="0"/>
          <w:numId w:val="12"/>
        </w:numPr>
        <w:tabs>
          <w:tab w:val="clear" w:pos="709"/>
        </w:tabs>
        <w:spacing w:lineRule="auto" w:line="240"/>
        <w:ind w:hanging="357" w:left="357"/>
        <w:rPr>
          <w:rFonts w:ascii="Tahoma" w:hAnsi="Tahoma" w:cs="Tahoma"/>
          <w:sz w:val="22"/>
          <w:szCs w:val="22"/>
        </w:rPr>
      </w:pPr>
      <w:r>
        <w:rPr>
          <w:rFonts w:cs="Tahoma" w:ascii="Tahoma" w:hAnsi="Tahoma"/>
          <w:sz w:val="22"/>
          <w:szCs w:val="22"/>
        </w:rPr>
        <w:t>Smluvní strany mohou ukončit smluvní vztah písemnou dohodou.</w:t>
      </w:r>
    </w:p>
    <w:p>
      <w:pPr>
        <w:pStyle w:val="Smlouva-slo1"/>
        <w:numPr>
          <w:ilvl w:val="0"/>
          <w:numId w:val="12"/>
        </w:numPr>
        <w:tabs>
          <w:tab w:val="clear" w:pos="709"/>
        </w:tabs>
        <w:spacing w:lineRule="auto" w:line="240"/>
        <w:ind w:hanging="357" w:left="357"/>
        <w:rPr>
          <w:rFonts w:ascii="Tahoma" w:hAnsi="Tahoma" w:cs="Tahoma"/>
          <w:sz w:val="22"/>
          <w:szCs w:val="22"/>
        </w:rPr>
      </w:pPr>
      <w:r>
        <w:rPr>
          <w:rFonts w:cs="Tahoma" w:ascii="Tahoma" w:hAnsi="Tahoma"/>
          <w:sz w:val="22"/>
          <w:szCs w:val="22"/>
        </w:rPr>
        <w:t>Smluvní strany jsou oprávněny odstoupit od smlouvy v případě jejího podstatného porušení druhou smluvní stranou, přičemž podstatným porušením smlouvy se rozumí zejména:</w:t>
      </w:r>
    </w:p>
    <w:p>
      <w:pPr>
        <w:pStyle w:val="Smlouva-slo1"/>
        <w:numPr>
          <w:ilvl w:val="0"/>
          <w:numId w:val="1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neprovedení díla v době plnění dle čl. IV odst. 1 této smlouvy,</w:t>
      </w:r>
    </w:p>
    <w:p>
      <w:pPr>
        <w:pStyle w:val="Smlouva-slo1"/>
        <w:numPr>
          <w:ilvl w:val="0"/>
          <w:numId w:val="1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nepředání dokladů na požadované pojištění dle čl. XI odst. 5 této smlouvy,</w:t>
      </w:r>
    </w:p>
    <w:p>
      <w:pPr>
        <w:pStyle w:val="Smlouva-slo1"/>
        <w:numPr>
          <w:ilvl w:val="0"/>
          <w:numId w:val="1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nedodržení pokynů objednatele, právních předpisů nebo technických norem týkajících se provádění díla,</w:t>
      </w:r>
    </w:p>
    <w:p>
      <w:pPr>
        <w:pStyle w:val="Smlouva-slo1"/>
        <w:numPr>
          <w:ilvl w:val="0"/>
          <w:numId w:val="1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nedodržení smluvních ujednání o záruce za jakost,</w:t>
      </w:r>
    </w:p>
    <w:p>
      <w:pPr>
        <w:pStyle w:val="Smlouva-slo1"/>
        <w:numPr>
          <w:ilvl w:val="0"/>
          <w:numId w:val="19"/>
        </w:numPr>
        <w:tabs>
          <w:tab w:val="clear" w:pos="709"/>
          <w:tab w:val="left" w:pos="714" w:leader="none"/>
        </w:tabs>
        <w:spacing w:lineRule="auto" w:line="240" w:before="60" w:after="0"/>
        <w:ind w:hanging="357" w:left="714"/>
        <w:rPr>
          <w:rFonts w:ascii="Tahoma" w:hAnsi="Tahoma" w:cs="Tahoma"/>
          <w:sz w:val="22"/>
          <w:szCs w:val="22"/>
        </w:rPr>
      </w:pPr>
      <w:r>
        <w:rPr>
          <w:rFonts w:cs="Tahoma" w:ascii="Tahoma" w:hAnsi="Tahoma"/>
          <w:sz w:val="22"/>
          <w:szCs w:val="22"/>
        </w:rPr>
        <w:t>neuhrazení ceny za dílo objednatelem po druhé výzvě zhotovitele k uhrazení dlužné částky, přičemž druhá výzva nesmí následovat dříve než 30 dnů po doručení první výzvy.</w:t>
      </w:r>
    </w:p>
    <w:p>
      <w:pPr>
        <w:pStyle w:val="Smlouva-slo1"/>
        <w:numPr>
          <w:ilvl w:val="0"/>
          <w:numId w:val="12"/>
        </w:numPr>
        <w:tabs>
          <w:tab w:val="clear" w:pos="709"/>
        </w:tabs>
        <w:spacing w:lineRule="auto" w:line="240"/>
        <w:ind w:hanging="357" w:left="357"/>
        <w:rPr>
          <w:rFonts w:ascii="Tahoma" w:hAnsi="Tahoma" w:cs="Tahoma"/>
          <w:sz w:val="22"/>
          <w:szCs w:val="22"/>
        </w:rPr>
      </w:pPr>
      <w:r>
        <w:rPr>
          <w:rFonts w:cs="Tahoma" w:ascii="Tahoma" w:hAnsi="Tahoma"/>
          <w:sz w:val="22"/>
          <w:szCs w:val="22"/>
        </w:rPr>
        <w:t>Objednatel je dále oprávněn od této smlouvy odstoupit v těchto případech:</w:t>
      </w:r>
    </w:p>
    <w:p>
      <w:pPr>
        <w:pStyle w:val="Normal"/>
        <w:numPr>
          <w:ilvl w:val="0"/>
          <w:numId w:val="26"/>
        </w:numPr>
        <w:tabs>
          <w:tab w:val="clear" w:pos="709"/>
          <w:tab w:val="left" w:pos="714" w:leader="none"/>
        </w:tabs>
        <w:spacing w:before="60" w:after="0"/>
        <w:ind w:hanging="357" w:left="714"/>
        <w:jc w:val="both"/>
        <w:rPr>
          <w:rFonts w:ascii="Tahoma" w:hAnsi="Tahoma" w:cs="Tahoma"/>
          <w:sz w:val="22"/>
          <w:szCs w:val="22"/>
        </w:rPr>
      </w:pPr>
      <w:r>
        <w:rPr>
          <w:rFonts w:cs="Tahoma" w:ascii="Tahoma" w:hAnsi="Tahoma"/>
          <w:sz w:val="22"/>
          <w:szCs w:val="22"/>
        </w:rPr>
        <w:t>dojde</w:t>
        <w:noBreakHyphen/>
        <w:t>li k neoprávněnému zastavení prací z rozhodnutí zhotovitele nebo zhotovitel postupuje při provádění díla způsobem, který zjevně neodpovídá dohodnutému rozsahu díla a sjednanému termínu předání díla, či jeho části objednateli;</w:t>
      </w:r>
    </w:p>
    <w:p>
      <w:pPr>
        <w:pStyle w:val="Normal"/>
        <w:numPr>
          <w:ilvl w:val="0"/>
          <w:numId w:val="26"/>
        </w:numPr>
        <w:tabs>
          <w:tab w:val="clear" w:pos="709"/>
          <w:tab w:val="left" w:pos="720" w:leader="none"/>
        </w:tabs>
        <w:spacing w:before="60" w:after="0"/>
        <w:ind w:hanging="357" w:left="714"/>
        <w:jc w:val="both"/>
        <w:rPr>
          <w:rFonts w:ascii="Tahoma" w:hAnsi="Tahoma" w:cs="Tahoma"/>
          <w:color w:val="000000"/>
          <w:sz w:val="22"/>
          <w:szCs w:val="22"/>
        </w:rPr>
      </w:pPr>
      <w:r>
        <w:rPr>
          <w:rFonts w:cs="Tahoma" w:ascii="Tahoma" w:hAnsi="Tahoma"/>
          <w:sz w:val="22"/>
          <w:szCs w:val="22"/>
        </w:rPr>
        <w:t>bylo</w:t>
        <w:noBreakHyphen/>
        <w:t xml:space="preserve">li příslušným soudem rozhodnuto </w:t>
      </w:r>
      <w:r>
        <w:rPr>
          <w:rFonts w:cs="Tahoma" w:ascii="Tahoma" w:hAnsi="Tahoma"/>
          <w:color w:val="000000"/>
          <w:sz w:val="22"/>
          <w:szCs w:val="22"/>
        </w:rPr>
        <w:t>o tom, že zhotovitel je v úpadku ve smyslu zákona č. 182/2006 Sb., o úpadku a způsobech jeho řešení (insolvenční zákon), ve znění pozdějších předpisů (a to bez ohledu na právní moc tohoto rozhodnutí);</w:t>
      </w:r>
    </w:p>
    <w:p>
      <w:pPr>
        <w:pStyle w:val="Normal"/>
        <w:numPr>
          <w:ilvl w:val="0"/>
          <w:numId w:val="26"/>
        </w:numPr>
        <w:tabs>
          <w:tab w:val="clear" w:pos="709"/>
          <w:tab w:val="left" w:pos="720" w:leader="none"/>
        </w:tabs>
        <w:spacing w:before="60" w:after="0"/>
        <w:ind w:hanging="357" w:left="714"/>
        <w:jc w:val="both"/>
        <w:rPr>
          <w:rFonts w:ascii="Tahoma" w:hAnsi="Tahoma" w:cs="Tahoma"/>
          <w:color w:val="000000"/>
          <w:sz w:val="22"/>
          <w:szCs w:val="22"/>
        </w:rPr>
      </w:pPr>
      <w:r>
        <w:rPr>
          <w:rFonts w:cs="Tahoma" w:ascii="Tahoma" w:hAnsi="Tahoma"/>
          <w:color w:val="000000"/>
          <w:sz w:val="22"/>
          <w:szCs w:val="22"/>
        </w:rPr>
        <w:t>podá</w:t>
        <w:noBreakHyphen/>
        <w:t>li zhotovitel sám na sebe insolvenční návrh.</w:t>
      </w:r>
    </w:p>
    <w:p>
      <w:pPr>
        <w:pStyle w:val="Smlouva-slo1"/>
        <w:numPr>
          <w:ilvl w:val="0"/>
          <w:numId w:val="12"/>
        </w:numPr>
        <w:tabs>
          <w:tab w:val="clear" w:pos="709"/>
        </w:tabs>
        <w:spacing w:lineRule="auto" w:line="240"/>
        <w:ind w:hanging="357" w:left="357"/>
        <w:rPr>
          <w:rFonts w:ascii="Tahoma" w:hAnsi="Tahoma" w:cs="Tahoma"/>
          <w:color w:val="000000"/>
          <w:sz w:val="22"/>
          <w:szCs w:val="22"/>
        </w:rPr>
      </w:pPr>
      <w:r>
        <w:rPr>
          <w:rFonts w:cs="Tahoma" w:ascii="Tahoma" w:hAnsi="Tahoma"/>
          <w:sz w:val="22"/>
          <w:szCs w:val="22"/>
        </w:rPr>
        <w:t>Odstoupením</w:t>
      </w:r>
      <w:r>
        <w:rPr>
          <w:rFonts w:cs="Tahoma" w:ascii="Tahoma" w:hAnsi="Tahoma"/>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pPr>
        <w:pStyle w:val="Smlouva-slo1"/>
        <w:numPr>
          <w:ilvl w:val="0"/>
          <w:numId w:val="12"/>
        </w:numPr>
        <w:tabs>
          <w:tab w:val="clear" w:pos="709"/>
        </w:tabs>
        <w:spacing w:lineRule="auto" w:line="240"/>
        <w:ind w:hanging="357" w:left="357"/>
        <w:rPr>
          <w:rFonts w:ascii="Tahoma" w:hAnsi="Tahoma" w:cs="Tahoma"/>
          <w:sz w:val="22"/>
          <w:szCs w:val="22"/>
        </w:rPr>
      </w:pPr>
      <w:r>
        <w:rPr>
          <w:rFonts w:cs="Tahoma" w:ascii="Tahoma" w:hAnsi="Tahoma"/>
          <w:sz w:val="22"/>
          <w:szCs w:val="22"/>
        </w:rPr>
        <w:t>Pro účely této smlouvy se pod pojmem „bez zbytečného odkladu“ dle § 2002 občanského zákoníku rozumí „nejpozději do 14 dnů“.</w:t>
      </w:r>
    </w:p>
    <w:p>
      <w:pPr>
        <w:pStyle w:val="Normal"/>
        <w:keepNext w:val="true"/>
        <w:spacing w:before="360" w:after="0"/>
        <w:jc w:val="center"/>
        <w:rPr>
          <w:rFonts w:ascii="Tahoma" w:hAnsi="Tahoma" w:cs="Tahoma"/>
          <w:b/>
          <w:sz w:val="22"/>
          <w:szCs w:val="22"/>
        </w:rPr>
      </w:pPr>
      <w:r>
        <w:rPr>
          <w:rFonts w:cs="Tahoma" w:ascii="Tahoma" w:hAnsi="Tahoma"/>
          <w:b/>
          <w:sz w:val="22"/>
          <w:szCs w:val="22"/>
        </w:rPr>
        <w:t>XV.</w:t>
        <w:br/>
        <w:t>Závěrečná ujednání</w:t>
      </w:r>
    </w:p>
    <w:p>
      <w:pPr>
        <w:pStyle w:val="Smlouva-slo1"/>
        <w:numPr>
          <w:ilvl w:val="0"/>
          <w:numId w:val="14"/>
        </w:numPr>
        <w:tabs>
          <w:tab w:val="clear" w:pos="709"/>
        </w:tabs>
        <w:spacing w:lineRule="auto" w:line="240"/>
        <w:rPr>
          <w:rFonts w:ascii="Tahoma" w:hAnsi="Tahoma" w:cs="Tahoma"/>
          <w:sz w:val="22"/>
          <w:szCs w:val="22"/>
        </w:rPr>
      </w:pPr>
      <w:r>
        <w:rPr>
          <w:rFonts w:cs="Tahoma" w:ascii="Tahoma" w:hAnsi="Tahoma"/>
          <w:sz w:val="22"/>
          <w:szCs w:val="22"/>
        </w:rPr>
        <w:t>Změnit nebo doplnit tuto smlouvu mohou smluvní strany pouze formou písemných dodatků, které budou vzestupně číslovány, výslovně prohlášeny za dodatky této smlouvy a podepsány oprávněnými zástupci smluvních stran.</w:t>
      </w:r>
    </w:p>
    <w:p>
      <w:pPr>
        <w:pStyle w:val="Smlouva-slo1"/>
        <w:numPr>
          <w:ilvl w:val="0"/>
          <w:numId w:val="14"/>
        </w:numPr>
        <w:spacing w:lineRule="auto" w:line="240"/>
        <w:rPr>
          <w:rFonts w:ascii="Tahoma" w:hAnsi="Tahoma" w:cs="Tahoma"/>
          <w:sz w:val="22"/>
          <w:szCs w:val="22"/>
        </w:rPr>
      </w:pPr>
      <w:r>
        <w:rPr>
          <w:rFonts w:cs="Tahoma" w:ascii="Tahoma" w:hAnsi="Tahoma"/>
          <w:sz w:val="22"/>
          <w:szCs w:val="22"/>
        </w:rPr>
        <w:t xml:space="preserve">Tato smlouva nabývá platnosti dnem jejího podpisu oběma smluvními stranami a účinnosti dnem zveřejnění v registru smluv. </w:t>
      </w:r>
    </w:p>
    <w:p>
      <w:pPr>
        <w:pStyle w:val="Smlouva-slo1"/>
        <w:numPr>
          <w:ilvl w:val="0"/>
          <w:numId w:val="14"/>
        </w:numPr>
        <w:tabs>
          <w:tab w:val="clear" w:pos="709"/>
        </w:tabs>
        <w:spacing w:lineRule="auto" w:line="240"/>
        <w:rPr>
          <w:rFonts w:ascii="Tahoma" w:hAnsi="Tahoma" w:cs="Tahoma"/>
          <w:sz w:val="22"/>
          <w:szCs w:val="22"/>
        </w:rPr>
      </w:pPr>
      <w:r>
        <w:rPr>
          <w:rFonts w:cs="Tahoma" w:ascii="Tahoma" w:hAnsi="Tahoma"/>
          <w:sz w:val="22"/>
          <w:szCs w:val="22"/>
        </w:rPr>
        <w:t>Tato smlouva je uzavírána elektronicky.</w:t>
      </w:r>
    </w:p>
    <w:p>
      <w:pPr>
        <w:pStyle w:val="Smlouva-slo1"/>
        <w:numPr>
          <w:ilvl w:val="0"/>
          <w:numId w:val="14"/>
        </w:numPr>
        <w:tabs>
          <w:tab w:val="clear" w:pos="709"/>
        </w:tabs>
        <w:spacing w:lineRule="auto" w:line="240"/>
        <w:rPr>
          <w:rFonts w:ascii="Tahoma" w:hAnsi="Tahoma" w:cs="Tahoma"/>
          <w:sz w:val="22"/>
          <w:szCs w:val="22"/>
        </w:rPr>
      </w:pPr>
      <w:r>
        <w:rPr>
          <w:rFonts w:cs="Tahoma" w:ascii="Tahoma" w:hAnsi="Tahoma"/>
          <w:sz w:val="22"/>
          <w:szCs w:val="22"/>
        </w:rPr>
        <w:t>Zhotovitel nemůže bez souhlasu objednatele postoupit svá práva a povinnosti plynoucí z této smlouvy třetí osobě.</w:t>
      </w:r>
    </w:p>
    <w:p>
      <w:pPr>
        <w:pStyle w:val="Smlouva-slo1"/>
        <w:numPr>
          <w:ilvl w:val="0"/>
          <w:numId w:val="14"/>
        </w:numPr>
        <w:tabs>
          <w:tab w:val="clear" w:pos="709"/>
        </w:tabs>
        <w:spacing w:lineRule="auto" w:line="240"/>
        <w:rPr>
          <w:rFonts w:ascii="Tahoma" w:hAnsi="Tahoma" w:cs="Tahoma"/>
          <w:sz w:val="22"/>
          <w:szCs w:val="22"/>
        </w:rPr>
      </w:pPr>
      <w:r>
        <w:rPr>
          <w:rFonts w:cs="Tahoma" w:ascii="Tahoma" w:hAnsi="Tahoma"/>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pPr>
        <w:pStyle w:val="Smlouva-slo1"/>
        <w:numPr>
          <w:ilvl w:val="0"/>
          <w:numId w:val="14"/>
        </w:numPr>
        <w:tabs>
          <w:tab w:val="clear" w:pos="709"/>
        </w:tabs>
        <w:rPr>
          <w:rFonts w:ascii="Tahoma" w:hAnsi="Tahoma" w:cs="Tahoma"/>
          <w:sz w:val="22"/>
          <w:szCs w:val="22"/>
        </w:rPr>
      </w:pPr>
      <w:r>
        <w:rPr>
          <w:rFonts w:cs="Tahoma" w:ascii="Tahoma" w:hAnsi="Tahoma"/>
          <w:sz w:val="22"/>
          <w:szCs w:val="22"/>
        </w:rPr>
        <w:t>Zhotovitel bere na vědomí a souhlasí s povinností objednatele uveřejnit:</w:t>
      </w:r>
    </w:p>
    <w:p>
      <w:pPr>
        <w:pStyle w:val="Smlouva-slo1"/>
        <w:numPr>
          <w:ilvl w:val="1"/>
          <w:numId w:val="14"/>
        </w:numPr>
        <w:rPr>
          <w:rFonts w:ascii="Tahoma" w:hAnsi="Tahoma" w:cs="Tahoma"/>
          <w:sz w:val="22"/>
          <w:szCs w:val="22"/>
        </w:rPr>
      </w:pPr>
      <w:r>
        <w:rPr>
          <w:rFonts w:cs="Tahoma" w:ascii="Tahoma" w:hAnsi="Tahoma"/>
          <w:sz w:val="22"/>
          <w:szCs w:val="22"/>
        </w:rPr>
        <w:t>tuto smlouvu včetně všech jejích změn a dodatků;</w:t>
      </w:r>
    </w:p>
    <w:p>
      <w:pPr>
        <w:pStyle w:val="Smlouva-slo1"/>
        <w:numPr>
          <w:ilvl w:val="1"/>
          <w:numId w:val="14"/>
        </w:numPr>
        <w:rPr>
          <w:rFonts w:ascii="Tahoma" w:hAnsi="Tahoma" w:cs="Tahoma"/>
          <w:sz w:val="22"/>
          <w:szCs w:val="22"/>
        </w:rPr>
      </w:pPr>
      <w:r>
        <w:rPr>
          <w:rFonts w:cs="Tahoma" w:ascii="Tahoma" w:hAnsi="Tahoma"/>
          <w:sz w:val="22"/>
          <w:szCs w:val="22"/>
        </w:rPr>
        <w:t>výši skutečně uhrazené ceny podle této smlouvy.</w:t>
      </w:r>
    </w:p>
    <w:p>
      <w:pPr>
        <w:pStyle w:val="Smlouva-slo1"/>
        <w:numPr>
          <w:ilvl w:val="0"/>
          <w:numId w:val="14"/>
        </w:numPr>
        <w:spacing w:lineRule="auto" w:line="240"/>
        <w:rPr>
          <w:rFonts w:ascii="Tahoma" w:hAnsi="Tahoma" w:cs="Tahoma"/>
          <w:sz w:val="22"/>
          <w:szCs w:val="22"/>
        </w:rPr>
      </w:pPr>
      <w:r>
        <w:rPr>
          <w:rFonts w:cs="Tahoma" w:ascii="Tahoma" w:hAnsi="Tahoma"/>
          <w:sz w:val="22"/>
          <w:szCs w:val="22"/>
        </w:rPr>
        <w:t>Zhotovitel převzal na sebe nebezpečí změny okolností po uzavření této smlouvy, ovlivňujících výši ceny za dílo (tj. riziko možného nárůstu cen materiálu, nákladů na pracovní sílu, cen energii, pohonných hmot apod.) nebo termín předání Dokumentace Objednateli (tj. riziko možného dočasného nedostatku pracovní síly). Z tohoto důvodu Zhotoviteli nepřísluší domáhat se práv, uvedených v ust. § 1765 odst. 1 a v ust. § 2620 odst. 2 občanského zákoníku, jde-li o důsledek změny okolností ovlivňujících výše uvedené ukazatele.</w:t>
      </w:r>
    </w:p>
    <w:p>
      <w:pPr>
        <w:pStyle w:val="Smlouva-slo1"/>
        <w:tabs>
          <w:tab w:val="clear" w:pos="709"/>
          <w:tab w:val="left" w:pos="1701" w:leader="none"/>
        </w:tabs>
        <w:spacing w:lineRule="auto" w:line="240"/>
        <w:ind w:left="357"/>
        <w:rPr>
          <w:rFonts w:ascii="Tahoma" w:hAnsi="Tahoma" w:cs="Tahoma"/>
          <w:sz w:val="22"/>
          <w:szCs w:val="22"/>
        </w:rPr>
      </w:pPr>
      <w:r>
        <w:rPr>
          <w:rFonts w:cs="Tahoma" w:ascii="Tahoma" w:hAnsi="Tahoma"/>
          <w:sz w:val="22"/>
          <w:szCs w:val="22"/>
        </w:rPr>
      </w:r>
    </w:p>
    <w:tbl>
      <w:tblPr>
        <w:tblW w:w="9000"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3528"/>
        <w:gridCol w:w="1296"/>
        <w:gridCol w:w="4176"/>
      </w:tblGrid>
      <w:tr>
        <w:trPr/>
        <w:tc>
          <w:tcPr>
            <w:tcW w:w="3528" w:type="dxa"/>
            <w:tcBorders/>
          </w:tcPr>
          <w:p>
            <w:pPr>
              <w:pStyle w:val="Normal"/>
              <w:rPr>
                <w:rFonts w:ascii="Tahoma" w:hAnsi="Tahoma" w:cs="Tahoma"/>
                <w:sz w:val="22"/>
                <w:szCs w:val="22"/>
              </w:rPr>
            </w:pPr>
            <w:r>
              <w:rPr>
                <w:rFonts w:cs="Tahoma" w:ascii="Tahoma" w:hAnsi="Tahoma"/>
                <w:sz w:val="22"/>
                <w:szCs w:val="22"/>
              </w:rPr>
              <w:t xml:space="preserve">V Havířově dne </w:t>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t>……………………………………</w:t>
            </w:r>
            <w:r>
              <w:rPr>
                <w:rFonts w:cs="Tahoma" w:ascii="Tahoma" w:hAnsi="Tahoma"/>
                <w:sz w:val="22"/>
                <w:szCs w:val="22"/>
              </w:rPr>
              <w:t>.</w:t>
            </w:r>
          </w:p>
          <w:p>
            <w:pPr>
              <w:pStyle w:val="Normal"/>
              <w:rPr>
                <w:rFonts w:ascii="Tahoma" w:hAnsi="Tahoma" w:cs="Tahoma"/>
                <w:sz w:val="22"/>
                <w:szCs w:val="22"/>
              </w:rPr>
            </w:pPr>
            <w:r>
              <w:rPr>
                <w:rFonts w:cs="Tahoma" w:ascii="Tahoma" w:hAnsi="Tahoma"/>
                <w:sz w:val="22"/>
                <w:szCs w:val="22"/>
              </w:rPr>
              <w:t>za objednatele</w:t>
            </w:r>
          </w:p>
          <w:p>
            <w:pPr>
              <w:pStyle w:val="Normal"/>
              <w:ind w:hanging="716" w:left="716"/>
              <w:rPr>
                <w:rFonts w:ascii="Tahoma" w:hAnsi="Tahoma" w:cs="Tahoma"/>
                <w:sz w:val="22"/>
                <w:szCs w:val="22"/>
              </w:rPr>
            </w:pPr>
            <w:r>
              <w:rPr>
                <w:rFonts w:cs="Tahoma" w:ascii="Tahoma" w:hAnsi="Tahoma"/>
                <w:sz w:val="22"/>
                <w:szCs w:val="22"/>
              </w:rPr>
            </w:r>
          </w:p>
        </w:tc>
        <w:tc>
          <w:tcPr>
            <w:tcW w:w="1296" w:type="dxa"/>
            <w:tcBorders/>
          </w:tcPr>
          <w:p>
            <w:pPr>
              <w:pStyle w:val="Normal"/>
              <w:rPr>
                <w:rFonts w:ascii="Tahoma" w:hAnsi="Tahoma" w:cs="Tahoma"/>
                <w:sz w:val="22"/>
                <w:szCs w:val="22"/>
              </w:rPr>
            </w:pPr>
            <w:r>
              <w:rPr>
                <w:rFonts w:cs="Tahoma" w:ascii="Tahoma" w:hAnsi="Tahoma"/>
                <w:sz w:val="22"/>
                <w:szCs w:val="22"/>
              </w:rPr>
            </w:r>
          </w:p>
        </w:tc>
        <w:tc>
          <w:tcPr>
            <w:tcW w:w="4176" w:type="dxa"/>
            <w:tcBorders/>
          </w:tcPr>
          <w:p>
            <w:pPr>
              <w:pStyle w:val="Normal"/>
              <w:rPr>
                <w:rFonts w:ascii="Tahoma" w:hAnsi="Tahoma" w:cs="Tahoma"/>
                <w:sz w:val="22"/>
                <w:szCs w:val="22"/>
              </w:rPr>
            </w:pPr>
            <w:r>
              <w:rPr>
                <w:rFonts w:cs="Tahoma" w:ascii="Tahoma" w:hAnsi="Tahoma"/>
                <w:sz w:val="22"/>
                <w:szCs w:val="22"/>
              </w:rPr>
              <w:t xml:space="preserve">V ……………… dne </w:t>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t>……………………………</w:t>
            </w:r>
            <w:r>
              <w:rPr>
                <w:rFonts w:cs="Tahoma" w:ascii="Tahoma" w:hAnsi="Tahoma"/>
                <w:sz w:val="22"/>
                <w:szCs w:val="22"/>
              </w:rPr>
              <w:t>..</w:t>
            </w:r>
          </w:p>
          <w:p>
            <w:pPr>
              <w:pStyle w:val="Normal"/>
              <w:rPr>
                <w:rFonts w:ascii="Tahoma" w:hAnsi="Tahoma" w:cs="Tahoma"/>
                <w:sz w:val="22"/>
                <w:szCs w:val="22"/>
              </w:rPr>
            </w:pPr>
            <w:r>
              <w:rPr>
                <w:rFonts w:cs="Tahoma" w:ascii="Tahoma" w:hAnsi="Tahoma"/>
                <w:sz w:val="22"/>
                <w:szCs w:val="22"/>
              </w:rPr>
              <w:t>za zhotovitele</w:t>
            </w:r>
          </w:p>
          <w:p>
            <w:pPr>
              <w:pStyle w:val="Normal"/>
              <w:rPr>
                <w:rFonts w:ascii="Tahoma" w:hAnsi="Tahoma" w:cs="Tahoma"/>
                <w:sz w:val="22"/>
                <w:szCs w:val="22"/>
              </w:rPr>
            </w:pPr>
            <w:r>
              <w:rPr>
                <w:rFonts w:cs="Tahoma" w:ascii="Tahoma" w:hAnsi="Tahoma"/>
                <w:sz w:val="22"/>
                <w:szCs w:val="22"/>
              </w:rPr>
            </w:r>
          </w:p>
        </w:tc>
      </w:tr>
    </w:tbl>
    <w:p>
      <w:pPr>
        <w:pStyle w:val="Smlouva-slo1"/>
        <w:spacing w:lineRule="auto" w:line="240" w:before="720" w:after="0"/>
        <w:rPr>
          <w:rFonts w:ascii="Tahoma" w:hAnsi="Tahoma" w:cs="Tahoma"/>
          <w:sz w:val="22"/>
          <w:szCs w:val="22"/>
        </w:rPr>
      </w:pPr>
      <w:r>
        <w:rPr>
          <w:rFonts w:cs="Tahoma" w:ascii="Tahoma" w:hAnsi="Tahoma"/>
          <w:sz w:val="22"/>
          <w:szCs w:val="22"/>
        </w:rPr>
      </w:r>
    </w:p>
    <w:sectPr>
      <w:footerReference w:type="even" r:id="rId4"/>
      <w:footerReference w:type="default" r:id="rId5"/>
      <w:footerReference w:type="first" r:id="rId6"/>
      <w:type w:val="nextPage"/>
      <w:pgSz w:w="11906" w:h="16838"/>
      <w:pgMar w:left="1418" w:right="1418" w:gutter="0" w:header="0" w:top="1418" w:footer="624" w:bottom="1418"/>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swiss"/>
    <w:pitch w:val="variable"/>
  </w:font>
  <w:font w:name="Courier New">
    <w:charset w:val="ee"/>
    <w:family w:val="roman"/>
    <w:pitch w:val="variable"/>
  </w:font>
  <w:font w:name="Arial">
    <w:charset w:val="ee"/>
    <w:family w:val="roman"/>
    <w:pitch w:val="variable"/>
  </w:font>
  <w:font w:name="Tahoma">
    <w:charset w:val="ee"/>
    <w:family w:val="roman"/>
    <w:pitch w:val="variable"/>
  </w:font>
  <w:font w:name="Verdana">
    <w:charset w:val="ee"/>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1" w:color="000000"/>
      </w:pBdr>
      <w:tabs>
        <w:tab w:val="center" w:pos="4536" w:leader="none"/>
        <w:tab w:val="left" w:pos="8820" w:leader="none"/>
        <w:tab w:val="right" w:pos="9072" w:leader="none"/>
      </w:tabs>
      <w:rPr>
        <w:rFonts w:ascii="Tahoma" w:hAnsi="Tahoma" w:cs="Tahoma"/>
        <w:sz w:val="18"/>
        <w:szCs w:val="18"/>
      </w:rPr>
    </w:pPr>
    <w:r>
      <w:rPr>
        <w:rFonts w:cs="Tahoma" w:ascii="Tahoma" w:hAnsi="Tahoma"/>
        <w:sz w:val="18"/>
        <w:szCs w:val="18"/>
      </w:rPr>
      <w:t>Smlouva o dílo Výměna pohonů požárního větrání Sportovní hala Žákovská</w:t>
      <w:tab/>
      <w:tab/>
    </w:r>
    <w:r>
      <w:rPr>
        <w:rStyle w:val="PageNumber"/>
        <w:rFonts w:cs="Tahoma" w:ascii="Tahoma" w:hAnsi="Tahoma"/>
        <w:sz w:val="18"/>
        <w:szCs w:val="18"/>
      </w:rPr>
      <w:fldChar w:fldCharType="begin"/>
    </w:r>
    <w:r>
      <w:rPr>
        <w:rStyle w:val="PageNumber"/>
        <w:sz w:val="18"/>
        <w:szCs w:val="18"/>
        <w:rFonts w:cs="Tahoma" w:ascii="Tahoma" w:hAnsi="Tahoma"/>
      </w:rPr>
      <w:instrText xml:space="preserve"> PAGE </w:instrText>
    </w:r>
    <w:r>
      <w:rPr>
        <w:rStyle w:val="PageNumber"/>
        <w:sz w:val="18"/>
        <w:szCs w:val="18"/>
        <w:rFonts w:cs="Tahoma" w:ascii="Tahoma" w:hAnsi="Tahoma"/>
      </w:rPr>
      <w:fldChar w:fldCharType="separate"/>
    </w:r>
    <w:r>
      <w:rPr>
        <w:rStyle w:val="PageNumber"/>
        <w:sz w:val="18"/>
        <w:szCs w:val="18"/>
        <w:rFonts w:cs="Tahoma" w:ascii="Tahoma" w:hAnsi="Tahoma"/>
      </w:rPr>
      <w:t>12</w:t>
    </w:r>
    <w:r>
      <w:rPr>
        <w:rStyle w:val="PageNumber"/>
        <w:sz w:val="18"/>
        <w:szCs w:val="18"/>
        <w:rFonts w:cs="Tahoma" w:ascii="Tahoma" w:hAnsi="Tahoma"/>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4" w:space="0" w:color="000000"/>
      </w:pBdr>
      <w:rPr>
        <w:rFonts w:ascii="Tahoma" w:hAnsi="Tahoma" w:cs="Tahoma"/>
        <w:sz w:val="18"/>
        <w:szCs w:val="18"/>
      </w:rPr>
    </w:pPr>
    <w:r>
      <w:rPr>
        <w:rFonts w:cs="Tahoma" w:ascii="Tahoma" w:hAnsi="Tahoma"/>
        <w:sz w:val="18"/>
        <w:szCs w:val="18"/>
      </w:rPr>
      <w:t>Smlouva o dílo Výměna pohonů požárního větrání Sportovní hala Žákovská</w:t>
      <w:tab/>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
      <w:lvlJc w:val="left"/>
      <w:pPr>
        <w:tabs>
          <w:tab w:val="num" w:pos="0"/>
        </w:tabs>
        <w:ind w:left="283" w:hanging="283"/>
      </w:pPr>
      <w:rPr>
        <w:sz w:val="24"/>
        <w:i w:val="false"/>
        <w:u w:val="none"/>
        <w:b w:val="false"/>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lowerLetter"/>
      <w:lvlText w:val="%1)"/>
      <w:lvlJc w:val="left"/>
      <w:pPr>
        <w:tabs>
          <w:tab w:val="num" w:pos="851"/>
        </w:tabs>
        <w:ind w:left="851" w:hanging="511"/>
      </w:pPr>
      <w:rPr>
        <w:sz w:val="22"/>
        <w:i w:val="false"/>
        <w:b w:val="false"/>
        <w:szCs w:val="22"/>
      </w:rPr>
    </w:lvl>
    <w:lvl w:ilvl="1">
      <w:start w:val="1"/>
      <w:numFmt w:val="lowerLetter"/>
      <w:lvlText w:val="%2."/>
      <w:lvlJc w:val="left"/>
      <w:pPr>
        <w:tabs>
          <w:tab w:val="num" w:pos="851"/>
        </w:tabs>
        <w:ind w:left="851" w:hanging="511"/>
      </w:pPr>
      <w:rPr/>
    </w:lvl>
    <w:lvl w:ilvl="2">
      <w:start w:val="1"/>
      <w:numFmt w:val="decimal"/>
      <w:lvlText w:val="%3."/>
      <w:lvlJc w:val="left"/>
      <w:pPr>
        <w:tabs>
          <w:tab w:val="num" w:pos="2340"/>
        </w:tabs>
        <w:ind w:left="2340" w:hanging="36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lowerLetter"/>
      <w:lvlText w:val="%1)"/>
      <w:lvlJc w:val="left"/>
      <w:pPr>
        <w:tabs>
          <w:tab w:val="num" w:pos="717"/>
        </w:tabs>
        <w:ind w:left="717" w:hanging="360"/>
      </w:pPr>
      <w:rPr/>
    </w:lvl>
    <w:lvl w:ilvl="1">
      <w:start w:val="1"/>
      <w:numFmt w:val="decimal"/>
      <w:lvlText w:val="%2."/>
      <w:lvlJc w:val="left"/>
      <w:pPr>
        <w:tabs>
          <w:tab w:val="num" w:pos="360"/>
        </w:tabs>
        <w:ind w:left="340" w:hanging="34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decimal"/>
      <w:lvlText w:val="%1."/>
      <w:lvlJc w:val="left"/>
      <w:pPr>
        <w:tabs>
          <w:tab w:val="num" w:pos="360"/>
        </w:tabs>
        <w:ind w:left="357" w:hanging="357"/>
      </w:pPr>
      <w:rPr/>
    </w:lvl>
    <w:lvl w:ilvl="1">
      <w:start w:val="1"/>
      <w:numFmt w:val="lowerLetter"/>
      <w:lvlText w:val="%2."/>
      <w:lvlJc w:val="left"/>
      <w:pPr>
        <w:tabs>
          <w:tab w:val="num" w:pos="1440"/>
        </w:tabs>
        <w:ind w:left="1440" w:hanging="360"/>
      </w:pPr>
      <w:rPr/>
    </w:lvl>
    <w:lvl w:ilvl="2">
      <w:start w:val="1"/>
      <w:numFmt w:val="lowerLetter"/>
      <w:lvlText w:val="%3)"/>
      <w:lvlJc w:val="left"/>
      <w:pPr>
        <w:tabs>
          <w:tab w:val="num" w:pos="737"/>
        </w:tabs>
        <w:ind w:left="737" w:hanging="380"/>
      </w:pPr>
      <w:rPr>
        <w:color w:val="000000"/>
      </w:rPr>
    </w:lvl>
    <w:lvl w:ilvl="3">
      <w:start w:val="1"/>
      <w:numFmt w:val="decimal"/>
      <w:lvlText w:val="%4."/>
      <w:lvlJc w:val="left"/>
      <w:pPr>
        <w:tabs>
          <w:tab w:val="num" w:pos="360"/>
        </w:tabs>
        <w:ind w:left="357" w:hanging="357"/>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decimal"/>
      <w:lvlText w:val="%1."/>
      <w:lvlJc w:val="left"/>
      <w:pPr>
        <w:tabs>
          <w:tab w:val="num" w:pos="360"/>
        </w:tabs>
        <w:ind w:left="357" w:hanging="357"/>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1"/>
      <w:numFmt w:val="decimal"/>
      <w:lvlText w:val="%1."/>
      <w:lvlJc w:val="left"/>
      <w:pPr>
        <w:tabs>
          <w:tab w:val="num" w:pos="567"/>
        </w:tabs>
        <w:ind w:left="567" w:hanging="567"/>
      </w:pPr>
      <w:rPr>
        <w:sz w:val="22"/>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360"/>
        </w:tabs>
        <w:ind w:left="340" w:hanging="340"/>
      </w:pPr>
      <w:rPr>
        <w:i w:val="false"/>
        <w:b w:val="false"/>
        <w:color w:val="auto"/>
      </w:rPr>
    </w:lvl>
    <w:lvl w:ilvl="1">
      <w:start w:val="1"/>
      <w:numFmt w:val="lowerLetter"/>
      <w:lvlText w:val="%2)"/>
      <w:lvlJc w:val="left"/>
      <w:pPr>
        <w:tabs>
          <w:tab w:val="num" w:pos="737"/>
        </w:tabs>
        <w:ind w:left="737" w:hanging="397"/>
      </w:pPr>
      <w:rPr/>
    </w:lvl>
    <w:lvl w:ilvl="2">
      <w:start w:val="1"/>
      <w:numFmt w:val="decimal"/>
      <w:lvlText w:val="%3."/>
      <w:lvlJc w:val="left"/>
      <w:pPr>
        <w:tabs>
          <w:tab w:val="num" w:pos="360"/>
        </w:tabs>
        <w:ind w:left="340" w:hanging="340"/>
      </w:pPr>
      <w:rPr>
        <w:color w:val="auto"/>
      </w:rPr>
    </w:lvl>
    <w:lvl w:ilvl="3">
      <w:start w:val="3"/>
      <w:numFmt w:val="bullet"/>
      <w:lvlText w:val="-"/>
      <w:lvlJc w:val="left"/>
      <w:pPr>
        <w:tabs>
          <w:tab w:val="num" w:pos="2917"/>
        </w:tabs>
        <w:ind w:left="2917" w:hanging="397"/>
      </w:pPr>
      <w:rPr>
        <w:rFonts w:ascii="Times New Roman" w:hAnsi="Times New Roman" w:cs="Times New Roman" w:hint="default"/>
        <w:i/>
        <w:b w:val="false"/>
        <w:color w:val="FF0000"/>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1"/>
      <w:numFmt w:val="decimal"/>
      <w:lvlText w:val="%1."/>
      <w:lvlJc w:val="left"/>
      <w:pPr>
        <w:tabs>
          <w:tab w:val="num" w:pos="360"/>
        </w:tabs>
        <w:ind w:left="360" w:hanging="360"/>
      </w:pPr>
      <w:rPr>
        <w:sz w:val="22"/>
        <w:i w:val="false"/>
        <w:b w:val="false"/>
        <w:szCs w:val="22"/>
        <w:rFonts w:ascii="Tahoma" w:hAnsi="Tahoma" w:cs="Tahoma"/>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3"/>
      <w:numFmt w:val="decimal"/>
      <w:lvlText w:val="%1."/>
      <w:lvlJc w:val="left"/>
      <w:pPr>
        <w:tabs>
          <w:tab w:val="num" w:pos="397"/>
        </w:tabs>
        <w:ind w:left="397" w:hanging="397"/>
      </w:pPr>
      <w:rPr>
        <w:sz w:val="24"/>
        <w:i w:val="false"/>
        <w:b w:val="false"/>
        <w:rFonts w:ascii="Times New Roman" w:hAnsi="Times New Roman"/>
      </w:rPr>
    </w:lvl>
    <w:lvl w:ilvl="1">
      <w:start w:val="1"/>
      <w:numFmt w:val="lowerLetter"/>
      <w:lvlText w:val="%2."/>
      <w:lvlJc w:val="left"/>
      <w:pPr>
        <w:tabs>
          <w:tab w:val="num" w:pos="1440"/>
        </w:tabs>
        <w:ind w:left="1440" w:hanging="360"/>
      </w:pPr>
      <w:rPr/>
    </w:lvl>
    <w:lvl w:ilvl="2">
      <w:start w:val="1"/>
      <w:numFmt w:val="lowerLetter"/>
      <w:lvlText w:val="%3)"/>
      <w:lvlJc w:val="left"/>
      <w:pPr>
        <w:tabs>
          <w:tab w:val="num" w:pos="737"/>
        </w:tabs>
        <w:ind w:left="737" w:hanging="3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0">
    <w:lvl w:ilvl="0">
      <w:start w:val="1"/>
      <w:numFmt w:val="decimal"/>
      <w:lvlText w:val="%1."/>
      <w:lvlJc w:val="left"/>
      <w:pPr>
        <w:tabs>
          <w:tab w:val="num" w:pos="360"/>
        </w:tabs>
        <w:ind w:left="360" w:hanging="360"/>
      </w:pPr>
      <w:rPr>
        <w:sz w:val="22"/>
        <w:i w:val="false"/>
        <w:b w:val="false"/>
        <w:szCs w:val="22"/>
        <w:rFonts w:ascii="Tahoma" w:hAnsi="Tahoma" w:cs="Tahoma"/>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1">
    <w:lvl w:ilvl="0">
      <w:start w:val="1"/>
      <w:numFmt w:val="decimal"/>
      <w:lvlText w:val="%1."/>
      <w:lvlJc w:val="left"/>
      <w:pPr>
        <w:tabs>
          <w:tab w:val="num" w:pos="360"/>
        </w:tabs>
        <w:ind w:left="360" w:hanging="360"/>
      </w:pPr>
      <w:rPr>
        <w:sz w:val="22"/>
        <w:i w:val="false"/>
        <w:b w:val="false"/>
        <w:szCs w:val="22"/>
        <w:rFonts w:ascii="Tahoma" w:hAnsi="Tahoma" w:cs="Tahoma"/>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360"/>
        </w:tabs>
        <w:ind w:left="360" w:hanging="360"/>
      </w:pPr>
      <w:rPr/>
    </w:lvl>
    <w:lvl w:ilvl="1">
      <w:start w:val="1"/>
      <w:numFmt w:val="decimal"/>
      <w:lvlText w:val="%1.%2."/>
      <w:lvlJc w:val="left"/>
      <w:pPr>
        <w:tabs>
          <w:tab w:val="num" w:pos="792"/>
        </w:tabs>
        <w:ind w:left="792" w:hanging="432"/>
      </w:pPr>
      <w:rPr/>
    </w:lvl>
    <w:lvl w:ilvl="2">
      <w:start w:val="1"/>
      <w:numFmt w:val="decimal"/>
      <w:lvlText w:val="%1.%2.%3."/>
      <w:lvlJc w:val="left"/>
      <w:pPr>
        <w:tabs>
          <w:tab w:val="num" w:pos="1440"/>
        </w:tabs>
        <w:ind w:left="1224" w:hanging="504"/>
      </w:pPr>
      <w:rPr/>
    </w:lvl>
    <w:lvl w:ilvl="3">
      <w:start w:val="1"/>
      <w:numFmt w:val="decimal"/>
      <w:lvlText w:val="%1.%2.%3.%4."/>
      <w:lvlJc w:val="left"/>
      <w:pPr>
        <w:tabs>
          <w:tab w:val="num" w:pos="180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3">
    <w:lvl w:ilvl="0">
      <w:start w:val="1"/>
      <w:numFmt w:val="decimal"/>
      <w:lvlText w:val="%1."/>
      <w:lvlJc w:val="left"/>
      <w:pPr>
        <w:tabs>
          <w:tab w:val="num" w:pos="360"/>
        </w:tabs>
        <w:ind w:left="357" w:hanging="357"/>
      </w:pPr>
      <w:rPr>
        <w:i w:val="false"/>
        <w:b w:val="false"/>
        <w:color w:val="auto"/>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4">
    <w:lvl w:ilvl="0">
      <w:start w:val="1"/>
      <w:numFmt w:val="decimal"/>
      <w:lvlText w:val="%1."/>
      <w:lvlJc w:val="left"/>
      <w:pPr>
        <w:tabs>
          <w:tab w:val="num" w:pos="360"/>
        </w:tabs>
        <w:ind w:left="357" w:hanging="357"/>
      </w:pPr>
      <w:rPr>
        <w:i w:val="false"/>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5">
    <w:lvl w:ilvl="0">
      <w:start w:val="1"/>
      <w:numFmt w:val="decimal"/>
      <w:lvlText w:val="%1."/>
      <w:lvlJc w:val="left"/>
      <w:pPr>
        <w:tabs>
          <w:tab w:val="num" w:pos="360"/>
        </w:tabs>
        <w:ind w:left="357" w:hanging="357"/>
      </w:pPr>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6">
    <w:lvl w:ilvl="0">
      <w:start w:val="1"/>
      <w:numFmt w:val="decimal"/>
      <w:lvlText w:val="%1."/>
      <w:lvlJc w:val="left"/>
      <w:pPr>
        <w:tabs>
          <w:tab w:val="num" w:pos="360"/>
        </w:tabs>
        <w:ind w:left="340" w:hanging="340"/>
      </w:pPr>
      <w:rPr>
        <w:i w:val="false"/>
        <w:b w:val="false"/>
        <w:rFonts w:ascii="Tahoma" w:hAnsi="Tahoma" w:cs="Tahoma"/>
        <w:color w:val="auto"/>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7">
    <w:lvl w:ilvl="0">
      <w:start w:val="1"/>
      <w:numFmt w:val="decimal"/>
      <w:lvlText w:val="%1."/>
      <w:lvlJc w:val="left"/>
      <w:pPr>
        <w:tabs>
          <w:tab w:val="num" w:pos="397"/>
        </w:tabs>
        <w:ind w:left="397" w:hanging="397"/>
      </w:pPr>
      <w:rPr>
        <w:sz w:val="22"/>
        <w:i w:val="false"/>
        <w:b w:val="false"/>
        <w:szCs w:val="22"/>
        <w:rFonts w:ascii="Tahoma" w:hAnsi="Tahoma" w:cs="Tahoma"/>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8">
    <w:lvl w:ilvl="0">
      <w:start w:val="1"/>
      <w:numFmt w:val="lowerLetter"/>
      <w:lvlText w:val="%1)"/>
      <w:lvlJc w:val="left"/>
      <w:pPr>
        <w:tabs>
          <w:tab w:val="num" w:pos="720"/>
        </w:tabs>
        <w:ind w:left="720" w:hanging="380"/>
      </w:pPr>
      <w:rPr/>
    </w:lvl>
    <w:lvl w:ilvl="1">
      <w:start w:val="1"/>
      <w:numFmt w:val="lowerLetter"/>
      <w:lvlText w:val="%2."/>
      <w:lvlJc w:val="left"/>
      <w:pPr>
        <w:tabs>
          <w:tab w:val="num" w:pos="1423"/>
        </w:tabs>
        <w:ind w:left="1423" w:hanging="360"/>
      </w:pPr>
      <w:rPr/>
    </w:lvl>
    <w:lvl w:ilvl="2">
      <w:start w:val="1"/>
      <w:numFmt w:val="lowerRoman"/>
      <w:lvlText w:val="%3."/>
      <w:lvlJc w:val="right"/>
      <w:pPr>
        <w:tabs>
          <w:tab w:val="num" w:pos="2143"/>
        </w:tabs>
        <w:ind w:left="2143" w:hanging="180"/>
      </w:pPr>
      <w:rPr/>
    </w:lvl>
    <w:lvl w:ilvl="3">
      <w:start w:val="1"/>
      <w:numFmt w:val="decimal"/>
      <w:lvlText w:val="%4."/>
      <w:lvlJc w:val="left"/>
      <w:pPr>
        <w:tabs>
          <w:tab w:val="num" w:pos="2863"/>
        </w:tabs>
        <w:ind w:left="2863" w:hanging="360"/>
      </w:pPr>
      <w:rPr/>
    </w:lvl>
    <w:lvl w:ilvl="4">
      <w:start w:val="1"/>
      <w:numFmt w:val="lowerLetter"/>
      <w:lvlText w:val="%5."/>
      <w:lvlJc w:val="left"/>
      <w:pPr>
        <w:tabs>
          <w:tab w:val="num" w:pos="3583"/>
        </w:tabs>
        <w:ind w:left="3583" w:hanging="360"/>
      </w:pPr>
      <w:rPr/>
    </w:lvl>
    <w:lvl w:ilvl="5">
      <w:start w:val="1"/>
      <w:numFmt w:val="lowerRoman"/>
      <w:lvlText w:val="%6."/>
      <w:lvlJc w:val="right"/>
      <w:pPr>
        <w:tabs>
          <w:tab w:val="num" w:pos="4303"/>
        </w:tabs>
        <w:ind w:left="4303" w:hanging="180"/>
      </w:pPr>
      <w:rPr/>
    </w:lvl>
    <w:lvl w:ilvl="6">
      <w:start w:val="1"/>
      <w:numFmt w:val="decimal"/>
      <w:lvlText w:val="%7."/>
      <w:lvlJc w:val="left"/>
      <w:pPr>
        <w:tabs>
          <w:tab w:val="num" w:pos="5023"/>
        </w:tabs>
        <w:ind w:left="5023" w:hanging="360"/>
      </w:pPr>
      <w:rPr/>
    </w:lvl>
    <w:lvl w:ilvl="7">
      <w:start w:val="1"/>
      <w:numFmt w:val="lowerLetter"/>
      <w:lvlText w:val="%8."/>
      <w:lvlJc w:val="left"/>
      <w:pPr>
        <w:tabs>
          <w:tab w:val="num" w:pos="5743"/>
        </w:tabs>
        <w:ind w:left="5743" w:hanging="360"/>
      </w:pPr>
      <w:rPr/>
    </w:lvl>
    <w:lvl w:ilvl="8">
      <w:start w:val="1"/>
      <w:numFmt w:val="lowerRoman"/>
      <w:lvlText w:val="%9."/>
      <w:lvlJc w:val="right"/>
      <w:pPr>
        <w:tabs>
          <w:tab w:val="num" w:pos="6463"/>
        </w:tabs>
        <w:ind w:left="6463" w:hanging="180"/>
      </w:pPr>
      <w:rPr/>
    </w:lvl>
  </w:abstractNum>
  <w:abstractNum w:abstractNumId="19">
    <w:lvl w:ilvl="0">
      <w:start w:val="1"/>
      <w:numFmt w:val="lowerLetter"/>
      <w:lvlText w:val="%1)"/>
      <w:lvlJc w:val="left"/>
      <w:pPr>
        <w:tabs>
          <w:tab w:val="num" w:pos="737"/>
        </w:tabs>
        <w:ind w:left="737" w:hanging="397"/>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0">
    <w:lvl w:ilvl="0">
      <w:start w:val="1"/>
      <w:numFmt w:val="lowerLetter"/>
      <w:lvlText w:val="%1)"/>
      <w:lvlJc w:val="left"/>
      <w:pPr>
        <w:tabs>
          <w:tab w:val="num" w:pos="717"/>
        </w:tabs>
        <w:ind w:left="714" w:hanging="357"/>
      </w:pPr>
      <w:rPr/>
    </w:lvl>
    <w:lvl w:ilvl="1">
      <w:start w:val="1"/>
      <w:numFmt w:val="lowerLetter"/>
      <w:lvlText w:val="%2."/>
      <w:lvlJc w:val="left"/>
      <w:pPr>
        <w:tabs>
          <w:tab w:val="num" w:pos="1797"/>
        </w:tabs>
        <w:ind w:left="1797" w:hanging="360"/>
      </w:pPr>
      <w:rPr/>
    </w:lvl>
    <w:lvl w:ilvl="2">
      <w:start w:val="1"/>
      <w:numFmt w:val="lowerRoman"/>
      <w:lvlText w:val="%3."/>
      <w:lvlJc w:val="right"/>
      <w:pPr>
        <w:tabs>
          <w:tab w:val="num" w:pos="2517"/>
        </w:tabs>
        <w:ind w:left="2517" w:hanging="180"/>
      </w:pPr>
      <w:rPr/>
    </w:lvl>
    <w:lvl w:ilvl="3">
      <w:start w:val="1"/>
      <w:numFmt w:val="decimal"/>
      <w:lvlText w:val="%4."/>
      <w:lvlJc w:val="left"/>
      <w:pPr>
        <w:tabs>
          <w:tab w:val="num" w:pos="3237"/>
        </w:tabs>
        <w:ind w:left="3237" w:hanging="360"/>
      </w:pPr>
      <w:rPr/>
    </w:lvl>
    <w:lvl w:ilvl="4">
      <w:start w:val="1"/>
      <w:numFmt w:val="lowerLetter"/>
      <w:lvlText w:val="%5."/>
      <w:lvlJc w:val="left"/>
      <w:pPr>
        <w:tabs>
          <w:tab w:val="num" w:pos="3957"/>
        </w:tabs>
        <w:ind w:left="3957" w:hanging="360"/>
      </w:pPr>
      <w:rPr/>
    </w:lvl>
    <w:lvl w:ilvl="5">
      <w:start w:val="1"/>
      <w:numFmt w:val="lowerRoman"/>
      <w:lvlText w:val="%6."/>
      <w:lvlJc w:val="right"/>
      <w:pPr>
        <w:tabs>
          <w:tab w:val="num" w:pos="4677"/>
        </w:tabs>
        <w:ind w:left="4677" w:hanging="180"/>
      </w:pPr>
      <w:rPr/>
    </w:lvl>
    <w:lvl w:ilvl="6">
      <w:start w:val="1"/>
      <w:numFmt w:val="decimal"/>
      <w:lvlText w:val="%7."/>
      <w:lvlJc w:val="left"/>
      <w:pPr>
        <w:tabs>
          <w:tab w:val="num" w:pos="5397"/>
        </w:tabs>
        <w:ind w:left="5397" w:hanging="360"/>
      </w:pPr>
      <w:rPr/>
    </w:lvl>
    <w:lvl w:ilvl="7">
      <w:start w:val="1"/>
      <w:numFmt w:val="lowerLetter"/>
      <w:lvlText w:val="%8."/>
      <w:lvlJc w:val="left"/>
      <w:pPr>
        <w:tabs>
          <w:tab w:val="num" w:pos="6117"/>
        </w:tabs>
        <w:ind w:left="6117" w:hanging="360"/>
      </w:pPr>
      <w:rPr/>
    </w:lvl>
    <w:lvl w:ilvl="8">
      <w:start w:val="1"/>
      <w:numFmt w:val="lowerRoman"/>
      <w:lvlText w:val="%9."/>
      <w:lvlJc w:val="right"/>
      <w:pPr>
        <w:tabs>
          <w:tab w:val="num" w:pos="6837"/>
        </w:tabs>
        <w:ind w:left="6837" w:hanging="180"/>
      </w:pPr>
      <w:rPr/>
    </w:lvl>
  </w:abstractNum>
  <w:abstractNum w:abstractNumId="21">
    <w:lvl w:ilvl="0">
      <w:start w:val="1"/>
      <w:numFmt w:val="decimal"/>
      <w:lvlText w:val="%1."/>
      <w:lvlJc w:val="left"/>
      <w:pPr>
        <w:tabs>
          <w:tab w:val="num" w:pos="360"/>
        </w:tabs>
        <w:ind w:left="360" w:hanging="360"/>
      </w:pPr>
      <w:rPr>
        <w:i w:val="false"/>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tabs>
          <w:tab w:val="num" w:pos="2520"/>
        </w:tabs>
        <w:ind w:left="2520" w:hanging="360"/>
      </w:pPr>
      <w:rPr>
        <w:rFonts w:ascii="Symbol" w:hAnsi="Symbol" w:cs="Symbol" w:hint="default"/>
        <w:sz w:val="20"/>
        <w:color w:val="auto"/>
      </w:rPr>
    </w:lvl>
    <w:lvl w:ilvl="1">
      <w:start w:val="1"/>
      <w:numFmt w:val="bullet"/>
      <w:lvlText w:val="o"/>
      <w:lvlJc w:val="left"/>
      <w:pPr>
        <w:tabs>
          <w:tab w:val="num" w:pos="1740"/>
        </w:tabs>
        <w:ind w:left="1740" w:hanging="360"/>
      </w:pPr>
      <w:rPr>
        <w:rFonts w:ascii="Courier New" w:hAnsi="Courier New" w:cs="Courier New" w:hint="default"/>
      </w:rPr>
    </w:lvl>
    <w:lvl w:ilvl="2">
      <w:start w:val="1"/>
      <w:numFmt w:val="bullet"/>
      <w:lvlText w:val=""/>
      <w:lvlJc w:val="left"/>
      <w:pPr>
        <w:tabs>
          <w:tab w:val="num" w:pos="2460"/>
        </w:tabs>
        <w:ind w:left="2460" w:hanging="360"/>
      </w:pPr>
      <w:rPr>
        <w:rFonts w:ascii="Wingdings" w:hAnsi="Wingdings" w:cs="Wingdings" w:hint="default"/>
      </w:rPr>
    </w:lvl>
    <w:lvl w:ilvl="3">
      <w:start w:val="1"/>
      <w:numFmt w:val="bullet"/>
      <w:lvlText w:val=""/>
      <w:lvlJc w:val="left"/>
      <w:pPr>
        <w:tabs>
          <w:tab w:val="num" w:pos="3180"/>
        </w:tabs>
        <w:ind w:left="3180" w:hanging="360"/>
      </w:pPr>
      <w:rPr>
        <w:rFonts w:ascii="Symbol" w:hAnsi="Symbol" w:cs="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cs="Wingdings" w:hint="default"/>
      </w:rPr>
    </w:lvl>
    <w:lvl w:ilvl="6">
      <w:start w:val="1"/>
      <w:numFmt w:val="bullet"/>
      <w:lvlText w:val=""/>
      <w:lvlJc w:val="left"/>
      <w:pPr>
        <w:tabs>
          <w:tab w:val="num" w:pos="5340"/>
        </w:tabs>
        <w:ind w:left="5340" w:hanging="360"/>
      </w:pPr>
      <w:rPr>
        <w:rFonts w:ascii="Symbol" w:hAnsi="Symbol" w:cs="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cs="Wingdings" w:hint="default"/>
      </w:rPr>
    </w:lvl>
  </w:abstractNum>
  <w:abstractNum w:abstractNumId="23">
    <w:lvl w:ilvl="0">
      <w:start w:val="1"/>
      <w:numFmt w:val="lowerLetter"/>
      <w:lvlText w:val="%1)"/>
      <w:lvlJc w:val="left"/>
      <w:pPr>
        <w:tabs>
          <w:tab w:val="num" w:pos="1362"/>
        </w:tabs>
        <w:ind w:left="1362" w:hanging="511"/>
      </w:pPr>
      <w:rPr>
        <w:sz w:val="22"/>
        <w:i w:val="false"/>
        <w:b w:val="false"/>
        <w:szCs w:val="22"/>
      </w:rPr>
    </w:lvl>
    <w:lvl w:ilvl="1">
      <w:start w:val="1"/>
      <w:numFmt w:val="lowerLetter"/>
      <w:lvlText w:val="%2."/>
      <w:lvlJc w:val="left"/>
      <w:pPr>
        <w:tabs>
          <w:tab w:val="num" w:pos="1951"/>
        </w:tabs>
        <w:ind w:left="1951" w:hanging="360"/>
      </w:pPr>
      <w:rPr/>
    </w:lvl>
    <w:lvl w:ilvl="2">
      <w:start w:val="1"/>
      <w:numFmt w:val="lowerRoman"/>
      <w:lvlText w:val="%3."/>
      <w:lvlJc w:val="right"/>
      <w:pPr>
        <w:tabs>
          <w:tab w:val="num" w:pos="2671"/>
        </w:tabs>
        <w:ind w:left="2671" w:hanging="180"/>
      </w:pPr>
      <w:rPr/>
    </w:lvl>
    <w:lvl w:ilvl="3">
      <w:start w:val="1"/>
      <w:numFmt w:val="decimal"/>
      <w:lvlText w:val="%4."/>
      <w:lvlJc w:val="left"/>
      <w:pPr>
        <w:tabs>
          <w:tab w:val="num" w:pos="3391"/>
        </w:tabs>
        <w:ind w:left="3391" w:hanging="360"/>
      </w:pPr>
      <w:rPr/>
    </w:lvl>
    <w:lvl w:ilvl="4">
      <w:start w:val="1"/>
      <w:numFmt w:val="lowerLetter"/>
      <w:lvlText w:val="%5."/>
      <w:lvlJc w:val="left"/>
      <w:pPr>
        <w:tabs>
          <w:tab w:val="num" w:pos="4111"/>
        </w:tabs>
        <w:ind w:left="4111" w:hanging="360"/>
      </w:pPr>
      <w:rPr/>
    </w:lvl>
    <w:lvl w:ilvl="5">
      <w:start w:val="1"/>
      <w:numFmt w:val="lowerRoman"/>
      <w:lvlText w:val="%6."/>
      <w:lvlJc w:val="right"/>
      <w:pPr>
        <w:tabs>
          <w:tab w:val="num" w:pos="4831"/>
        </w:tabs>
        <w:ind w:left="4831" w:hanging="180"/>
      </w:pPr>
      <w:rPr/>
    </w:lvl>
    <w:lvl w:ilvl="6">
      <w:start w:val="1"/>
      <w:numFmt w:val="decimal"/>
      <w:lvlText w:val="%7."/>
      <w:lvlJc w:val="left"/>
      <w:pPr>
        <w:tabs>
          <w:tab w:val="num" w:pos="5551"/>
        </w:tabs>
        <w:ind w:left="5551" w:hanging="360"/>
      </w:pPr>
      <w:rPr/>
    </w:lvl>
    <w:lvl w:ilvl="7">
      <w:start w:val="1"/>
      <w:numFmt w:val="lowerLetter"/>
      <w:lvlText w:val="%8."/>
      <w:lvlJc w:val="left"/>
      <w:pPr>
        <w:tabs>
          <w:tab w:val="num" w:pos="6271"/>
        </w:tabs>
        <w:ind w:left="6271" w:hanging="360"/>
      </w:pPr>
      <w:rPr/>
    </w:lvl>
    <w:lvl w:ilvl="8">
      <w:start w:val="1"/>
      <w:numFmt w:val="lowerRoman"/>
      <w:lvlText w:val="%9."/>
      <w:lvlJc w:val="right"/>
      <w:pPr>
        <w:tabs>
          <w:tab w:val="num" w:pos="6991"/>
        </w:tabs>
        <w:ind w:left="6991" w:hanging="180"/>
      </w:pPr>
      <w:rPr/>
    </w:lvl>
  </w:abstractNum>
  <w:abstractNum w:abstractNumId="24">
    <w:lvl w:ilvl="0">
      <w:start w:val="1"/>
      <w:numFmt w:val="lowerLetter"/>
      <w:lvlText w:val="%1)"/>
      <w:lvlJc w:val="left"/>
      <w:pPr>
        <w:tabs>
          <w:tab w:val="num" w:pos="397"/>
        </w:tabs>
        <w:ind w:left="397" w:hanging="397"/>
      </w:pPr>
      <w:rPr/>
    </w:lvl>
    <w:lvl w:ilvl="1">
      <w:start w:val="1"/>
      <w:numFmt w:val="lowerLetter"/>
      <w:lvlText w:val="%2."/>
      <w:lvlJc w:val="left"/>
      <w:pPr>
        <w:tabs>
          <w:tab w:val="num" w:pos="1100"/>
        </w:tabs>
        <w:ind w:left="1100" w:hanging="360"/>
      </w:pPr>
      <w:rPr/>
    </w:lvl>
    <w:lvl w:ilvl="2">
      <w:start w:val="1"/>
      <w:numFmt w:val="lowerRoman"/>
      <w:lvlText w:val="%3."/>
      <w:lvlJc w:val="right"/>
      <w:pPr>
        <w:tabs>
          <w:tab w:val="num" w:pos="1820"/>
        </w:tabs>
        <w:ind w:left="1820" w:hanging="180"/>
      </w:pPr>
      <w:rPr/>
    </w:lvl>
    <w:lvl w:ilvl="3">
      <w:start w:val="1"/>
      <w:numFmt w:val="decimal"/>
      <w:lvlText w:val="%4."/>
      <w:lvlJc w:val="left"/>
      <w:pPr>
        <w:tabs>
          <w:tab w:val="num" w:pos="2540"/>
        </w:tabs>
        <w:ind w:left="2540" w:hanging="360"/>
      </w:pPr>
      <w:rPr/>
    </w:lvl>
    <w:lvl w:ilvl="4">
      <w:start w:val="1"/>
      <w:numFmt w:val="lowerLetter"/>
      <w:lvlText w:val="%5."/>
      <w:lvlJc w:val="left"/>
      <w:pPr>
        <w:tabs>
          <w:tab w:val="num" w:pos="3260"/>
        </w:tabs>
        <w:ind w:left="3260" w:hanging="360"/>
      </w:pPr>
      <w:rPr/>
    </w:lvl>
    <w:lvl w:ilvl="5">
      <w:start w:val="1"/>
      <w:numFmt w:val="lowerRoman"/>
      <w:lvlText w:val="%6."/>
      <w:lvlJc w:val="right"/>
      <w:pPr>
        <w:tabs>
          <w:tab w:val="num" w:pos="3980"/>
        </w:tabs>
        <w:ind w:left="3980" w:hanging="180"/>
      </w:pPr>
      <w:rPr/>
    </w:lvl>
    <w:lvl w:ilvl="6">
      <w:start w:val="1"/>
      <w:numFmt w:val="decimal"/>
      <w:lvlText w:val="%7."/>
      <w:lvlJc w:val="left"/>
      <w:pPr>
        <w:tabs>
          <w:tab w:val="num" w:pos="4700"/>
        </w:tabs>
        <w:ind w:left="4700" w:hanging="360"/>
      </w:pPr>
      <w:rPr/>
    </w:lvl>
    <w:lvl w:ilvl="7">
      <w:start w:val="1"/>
      <w:numFmt w:val="lowerLetter"/>
      <w:lvlText w:val="%8."/>
      <w:lvlJc w:val="left"/>
      <w:pPr>
        <w:tabs>
          <w:tab w:val="num" w:pos="5420"/>
        </w:tabs>
        <w:ind w:left="5420" w:hanging="360"/>
      </w:pPr>
      <w:rPr/>
    </w:lvl>
    <w:lvl w:ilvl="8">
      <w:start w:val="1"/>
      <w:numFmt w:val="lowerRoman"/>
      <w:lvlText w:val="%9."/>
      <w:lvlJc w:val="right"/>
      <w:pPr>
        <w:tabs>
          <w:tab w:val="num" w:pos="6140"/>
        </w:tabs>
        <w:ind w:left="6140" w:hanging="180"/>
      </w:pPr>
      <w:rPr/>
    </w:lvl>
  </w:abstractNum>
  <w:abstractNum w:abstractNumId="25">
    <w:lvl w:ilvl="0">
      <w:start w:val="1"/>
      <w:numFmt w:val="bullet"/>
      <w:lvlText w:val=""/>
      <w:lvlJc w:val="left"/>
      <w:pPr>
        <w:tabs>
          <w:tab w:val="num" w:pos="360"/>
        </w:tabs>
        <w:ind w:left="360" w:hanging="360"/>
      </w:pPr>
      <w:rPr>
        <w:rFonts w:ascii="Symbol" w:hAnsi="Symbol" w:cs="Symbol" w:hint="default"/>
        <w:i w:val="false"/>
        <w:b w:val="false"/>
        <w:color w:val="auto"/>
      </w:rPr>
    </w:lvl>
    <w:lvl w:ilvl="1">
      <w:start w:val="1"/>
      <w:numFmt w:val="lowerLetter"/>
      <w:lvlText w:val="%2)"/>
      <w:lvlJc w:val="left"/>
      <w:pPr>
        <w:tabs>
          <w:tab w:val="num" w:pos="737"/>
        </w:tabs>
        <w:ind w:left="737" w:hanging="397"/>
      </w:pPr>
      <w:rPr/>
    </w:lvl>
    <w:lvl w:ilvl="2">
      <w:start w:val="1"/>
      <w:numFmt w:val="decimal"/>
      <w:lvlText w:val="%3."/>
      <w:lvlJc w:val="left"/>
      <w:pPr>
        <w:tabs>
          <w:tab w:val="num" w:pos="360"/>
        </w:tabs>
        <w:ind w:left="340" w:hanging="340"/>
      </w:pPr>
      <w:rPr>
        <w:color w:val="auto"/>
      </w:rPr>
    </w:lvl>
    <w:lvl w:ilvl="3">
      <w:start w:val="3"/>
      <w:numFmt w:val="bullet"/>
      <w:lvlText w:val="-"/>
      <w:lvlJc w:val="left"/>
      <w:pPr>
        <w:tabs>
          <w:tab w:val="num" w:pos="2917"/>
        </w:tabs>
        <w:ind w:left="2917" w:hanging="397"/>
      </w:pPr>
      <w:rPr>
        <w:rFonts w:ascii="Times New Roman" w:hAnsi="Times New Roman" w:cs="Times New Roman" w:hint="default"/>
        <w:i/>
        <w:b w:val="false"/>
        <w:color w:val="FF0000"/>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6">
    <w:lvl w:ilvl="0">
      <w:start w:val="1"/>
      <w:numFmt w:val="lowerLetter"/>
      <w:lvlText w:val="%1)"/>
      <w:lvlJc w:val="left"/>
      <w:pPr>
        <w:tabs>
          <w:tab w:val="num" w:pos="1545"/>
        </w:tabs>
        <w:ind w:left="1545" w:hanging="465"/>
      </w:pPr>
      <w:rPr>
        <w:sz w:val="22"/>
        <w:i w:val="false"/>
        <w:b w:val="false"/>
        <w:szCs w:val="22"/>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7">
    <w:lvl w:ilvl="0">
      <w:start w:val="1"/>
      <w:numFmt w:val="lowerLetter"/>
      <w:lvlText w:val="%1)"/>
      <w:lvlJc w:val="left"/>
      <w:pPr>
        <w:tabs>
          <w:tab w:val="num" w:pos="700"/>
        </w:tabs>
        <w:ind w:left="700" w:hanging="360"/>
      </w:pPr>
      <w:rPr>
        <w:color w:val="auto"/>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8">
    <w:lvl w:ilvl="0">
      <w:start w:val="1"/>
      <w:numFmt w:val="decimal"/>
      <w:lvlText w:val="%1."/>
      <w:lvlJc w:val="left"/>
      <w:pPr>
        <w:tabs>
          <w:tab w:val="num" w:pos="360"/>
        </w:tabs>
        <w:ind w:left="340" w:hanging="34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decimal"/>
      <w:lvlText w:val="%1."/>
      <w:lvlJc w:val="left"/>
      <w:pPr>
        <w:tabs>
          <w:tab w:val="num" w:pos="720"/>
        </w:tabs>
        <w:ind w:left="720" w:hanging="360"/>
      </w:pPr>
      <w:rPr>
        <w:i w:val="false"/>
        <w:b/>
      </w:rPr>
    </w:lvl>
    <w:lvl w:ilvl="1">
      <w:start w:val="1"/>
      <w:isLgl/>
      <w:numFmt w:val="decimal"/>
      <w:lvlText w:val="%1.%2."/>
      <w:lvlJc w:val="left"/>
      <w:pPr>
        <w:tabs>
          <w:tab w:val="num" w:pos="720"/>
        </w:tabs>
        <w:ind w:left="720" w:hanging="360"/>
      </w:pPr>
      <w:rPr/>
    </w:lvl>
    <w:lvl w:ilvl="2">
      <w:start w:val="1"/>
      <w:isLgl/>
      <w:numFmt w:val="decimal"/>
      <w:lvlText w:val="%1.%2.%3."/>
      <w:lvlJc w:val="left"/>
      <w:pPr>
        <w:tabs>
          <w:tab w:val="num" w:pos="1080"/>
        </w:tabs>
        <w:ind w:left="1080" w:hanging="720"/>
      </w:pPr>
      <w:rPr/>
    </w:lvl>
    <w:lvl w:ilvl="3">
      <w:start w:val="1"/>
      <w:isLgl/>
      <w:numFmt w:val="decimal"/>
      <w:lvlText w:val="%1.%2.%3.%4."/>
      <w:lvlJc w:val="left"/>
      <w:pPr>
        <w:tabs>
          <w:tab w:val="num" w:pos="1080"/>
        </w:tabs>
        <w:ind w:left="1080" w:hanging="720"/>
      </w:pPr>
      <w:rPr/>
    </w:lvl>
    <w:lvl w:ilvl="4">
      <w:start w:val="1"/>
      <w:isLgl/>
      <w:numFmt w:val="decimal"/>
      <w:lvlText w:val="%1.%2.%3.%4.%5."/>
      <w:lvlJc w:val="left"/>
      <w:pPr>
        <w:tabs>
          <w:tab w:val="num" w:pos="1440"/>
        </w:tabs>
        <w:ind w:left="1440" w:hanging="1080"/>
      </w:pPr>
      <w:rPr/>
    </w:lvl>
    <w:lvl w:ilvl="5">
      <w:start w:val="1"/>
      <w:isLgl/>
      <w:numFmt w:val="decimal"/>
      <w:lvlText w:val="%1.%2.%3.%4.%5.%6."/>
      <w:lvlJc w:val="left"/>
      <w:pPr>
        <w:tabs>
          <w:tab w:val="num" w:pos="1440"/>
        </w:tabs>
        <w:ind w:left="1440" w:hanging="1080"/>
      </w:pPr>
      <w:rPr/>
    </w:lvl>
    <w:lvl w:ilvl="6">
      <w:start w:val="1"/>
      <w:isLgl/>
      <w:numFmt w:val="decimal"/>
      <w:lvlText w:val="%1.%2.%3.%4.%5.%6.%7."/>
      <w:lvlJc w:val="left"/>
      <w:pPr>
        <w:tabs>
          <w:tab w:val="num" w:pos="1800"/>
        </w:tabs>
        <w:ind w:left="1800" w:hanging="1440"/>
      </w:pPr>
      <w:rPr/>
    </w:lvl>
    <w:lvl w:ilvl="7">
      <w:start w:val="1"/>
      <w:isLgl/>
      <w:numFmt w:val="decimal"/>
      <w:lvlText w:val="%1.%2.%3.%4.%5.%6.%7.%8."/>
      <w:lvlJc w:val="left"/>
      <w:pPr>
        <w:tabs>
          <w:tab w:val="num" w:pos="1800"/>
        </w:tabs>
        <w:ind w:left="1800" w:hanging="1440"/>
      </w:pPr>
      <w:rPr/>
    </w:lvl>
    <w:lvl w:ilvl="8">
      <w:start w:val="1"/>
      <w:isLgl/>
      <w:numFmt w:val="decimal"/>
      <w:lvlText w:val="%1.%2.%3.%4.%5.%6.%7.%8.%9."/>
      <w:lvlJc w:val="left"/>
      <w:pPr>
        <w:tabs>
          <w:tab w:val="num" w:pos="2160"/>
        </w:tabs>
        <w:ind w:left="2160" w:hanging="1800"/>
      </w:pPr>
      <w:rPr/>
    </w:lvl>
  </w:abstractNum>
  <w:abstractNum w:abstractNumId="3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w="http://schemas.openxmlformats.org/wordprocessingml/2006/main">
  <w:zoom w:percent="100"/>
  <w:embedSystemFonts/>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docVars>
    <w:docVar w:name="pDOC_NAME" w:val="-"/>
    <w:docVar w:name="pID_FILE" w:val="-1"/>
    <w:docVar w:name="pID_PIS" w:val="-1"/>
    <w:docVar w:name="sCJ" w:val="CJ-XXX-XXX-XXX"/>
    <w:docVar w:name="sEC" w:val="EC-XXX-XXX-XXX"/>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Heading1">
    <w:name w:val="Heading 1"/>
    <w:basedOn w:val="Normal"/>
    <w:next w:val="Normal"/>
    <w:qFormat/>
    <w:pPr>
      <w:keepNext w:val="true"/>
      <w:tabs>
        <w:tab w:val="clear" w:pos="709"/>
        <w:tab w:val="left" w:pos="7371" w:leader="none"/>
      </w:tabs>
      <w:jc w:val="center"/>
      <w:outlineLvl w:val="0"/>
    </w:pPr>
    <w:rPr>
      <w:b/>
      <w:bCs/>
      <w:sz w:val="28"/>
    </w:rPr>
  </w:style>
  <w:style w:type="paragraph" w:styleId="Heading2">
    <w:name w:val="Heading 2"/>
    <w:basedOn w:val="Normal"/>
    <w:next w:val="Normal"/>
    <w:qFormat/>
    <w:pPr>
      <w:keepNext w:val="true"/>
      <w:tabs>
        <w:tab w:val="clear" w:pos="709"/>
        <w:tab w:val="left" w:pos="540" w:leader="none"/>
        <w:tab w:val="left" w:pos="1260" w:leader="none"/>
        <w:tab w:val="left" w:pos="1980" w:leader="none"/>
        <w:tab w:val="left" w:pos="3960" w:leader="none"/>
      </w:tabs>
      <w:jc w:val="center"/>
      <w:outlineLvl w:val="1"/>
    </w:pPr>
    <w:rPr>
      <w:b/>
      <w:bCs/>
    </w:rPr>
  </w:style>
  <w:style w:type="paragraph" w:styleId="Heading3">
    <w:name w:val="Heading 3"/>
    <w:basedOn w:val="Normal"/>
    <w:next w:val="Normal"/>
    <w:qFormat/>
    <w:pPr>
      <w:keepNext w:val="true"/>
      <w:jc w:val="both"/>
      <w:outlineLvl w:val="2"/>
    </w:pPr>
    <w:rPr>
      <w:b/>
      <w:szCs w:val="20"/>
      <w:u w:val="single"/>
    </w:rPr>
  </w:style>
  <w:style w:type="paragraph" w:styleId="Heading4">
    <w:name w:val="Heading 4"/>
    <w:basedOn w:val="Normal"/>
    <w:next w:val="Normal"/>
    <w:qFormat/>
    <w:pPr>
      <w:keepNext w:val="true"/>
      <w:tabs>
        <w:tab w:val="clear" w:pos="709"/>
        <w:tab w:val="left" w:pos="567" w:leader="none"/>
        <w:tab w:val="left" w:pos="1701" w:leader="none"/>
      </w:tabs>
      <w:spacing w:before="0" w:after="60"/>
      <w:ind w:firstLine="360"/>
      <w:outlineLvl w:val="3"/>
    </w:pPr>
    <w:rPr>
      <w:i/>
      <w:iCs/>
    </w:rPr>
  </w:style>
  <w:style w:type="paragraph" w:styleId="Heading5">
    <w:name w:val="Heading 5"/>
    <w:basedOn w:val="Normal"/>
    <w:next w:val="Normal"/>
    <w:qFormat/>
    <w:pPr>
      <w:keepNext w:val="true"/>
      <w:widowControl w:val="false"/>
      <w:spacing w:before="120" w:after="0"/>
      <w:outlineLvl w:val="4"/>
    </w:pPr>
    <w:rPr/>
  </w:style>
  <w:style w:type="paragraph" w:styleId="Heading6">
    <w:name w:val="Heading 6"/>
    <w:basedOn w:val="Normal"/>
    <w:next w:val="Normal"/>
    <w:qFormat/>
    <w:pPr>
      <w:keepNext w:val="true"/>
      <w:outlineLvl w:val="5"/>
    </w:pPr>
    <w:rPr>
      <w:i/>
      <w:iCs/>
      <w:color w:val="FF0000"/>
    </w:rPr>
  </w:style>
  <w:style w:type="paragraph" w:styleId="Heading8">
    <w:name w:val="Heading 8"/>
    <w:basedOn w:val="Normal"/>
    <w:next w:val="Normal"/>
    <w:qFormat/>
    <w:pPr>
      <w:keepNext w:val="true"/>
      <w:tabs>
        <w:tab w:val="clear" w:pos="709"/>
        <w:tab w:val="left" w:pos="567" w:leader="none"/>
        <w:tab w:val="left" w:pos="1701" w:leader="none"/>
      </w:tabs>
      <w:outlineLvl w:val="7"/>
    </w:pPr>
    <w:rPr>
      <w:i/>
      <w:iCs/>
      <w:sz w:val="28"/>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rPr/>
  </w:style>
  <w:style w:type="character" w:styleId="InternetLink">
    <w:name w:val="Internet Link"/>
    <w:uiPriority w:val="99"/>
    <w:qFormat/>
    <w:rPr>
      <w:color w:val="0000FF"/>
      <w:u w:val="single"/>
    </w:rPr>
  </w:style>
  <w:style w:type="character" w:styleId="FollowedHyperlink">
    <w:name w:val="FollowedHyperlink"/>
    <w:rPr>
      <w:color w:val="800080"/>
      <w:u w:val="single"/>
    </w:rPr>
  </w:style>
  <w:style w:type="character" w:styleId="Emphasis">
    <w:name w:val="Emphasis"/>
    <w:qFormat/>
    <w:rPr>
      <w:i/>
      <w:iCs/>
    </w:rPr>
  </w:style>
  <w:style w:type="character" w:styleId="Strong">
    <w:name w:val="Strong"/>
    <w:qFormat/>
    <w:rsid w:val="00f76baf"/>
    <w:rPr>
      <w:b/>
      <w:bCs/>
    </w:rPr>
  </w:style>
  <w:style w:type="character" w:styleId="ZkladntextChar" w:customStyle="1">
    <w:name w:val="Základní text Char"/>
    <w:qFormat/>
    <w:rsid w:val="00655a98"/>
    <w:rPr>
      <w:sz w:val="24"/>
      <w:szCs w:val="24"/>
      <w:lang w:val="cs-CZ" w:eastAsia="cs-CZ" w:bidi="ar-SA"/>
    </w:rPr>
  </w:style>
  <w:style w:type="character" w:styleId="annotationreference">
    <w:name w:val="annotation reference"/>
    <w:uiPriority w:val="99"/>
    <w:semiHidden/>
    <w:unhideWhenUsed/>
    <w:qFormat/>
    <w:rsid w:val="0017385a"/>
    <w:rPr>
      <w:sz w:val="16"/>
      <w:szCs w:val="16"/>
    </w:rPr>
  </w:style>
  <w:style w:type="character" w:styleId="TextkomenteChar" w:customStyle="1">
    <w:name w:val="Text komentáře Char"/>
    <w:basedOn w:val="DefaultParagraphFont"/>
    <w:uiPriority w:val="99"/>
    <w:qFormat/>
    <w:rsid w:val="0017385a"/>
    <w:rPr/>
  </w:style>
  <w:style w:type="character" w:styleId="PedmtkomenteChar" w:customStyle="1">
    <w:name w:val="Předmět komentáře Char"/>
    <w:link w:val="annotationsubject"/>
    <w:uiPriority w:val="99"/>
    <w:semiHidden/>
    <w:qFormat/>
    <w:rsid w:val="0017385a"/>
    <w:rPr>
      <w:b/>
      <w:bCs/>
    </w:rPr>
  </w:style>
  <w:style w:type="character" w:styleId="ZhlavChar" w:customStyle="1">
    <w:name w:val="Záhlaví Char"/>
    <w:qFormat/>
    <w:rsid w:val="004c3a76"/>
    <w:rPr>
      <w:sz w:val="24"/>
      <w:szCs w:val="24"/>
    </w:rPr>
  </w:style>
  <w:style w:type="character" w:styleId="normaltextrun" w:customStyle="1">
    <w:name w:val="normaltextrun"/>
    <w:basedOn w:val="DefaultParagraphFont"/>
    <w:qFormat/>
    <w:rsid w:val="005e08a5"/>
    <w:rPr/>
  </w:style>
  <w:style w:type="character" w:styleId="tabchar" w:customStyle="1">
    <w:name w:val="tabchar"/>
    <w:basedOn w:val="DefaultParagraphFont"/>
    <w:qFormat/>
    <w:rsid w:val="005e08a5"/>
    <w:rPr/>
  </w:style>
  <w:style w:type="character" w:styleId="eop" w:customStyle="1">
    <w:name w:val="eop"/>
    <w:basedOn w:val="DefaultParagraphFont"/>
    <w:qFormat/>
    <w:rsid w:val="005e08a5"/>
    <w:rPr/>
  </w:style>
  <w:style w:type="character" w:styleId="contextualspellingandgrammarerror" w:customStyle="1">
    <w:name w:val="contextualspellingandgrammarerror"/>
    <w:basedOn w:val="DefaultParagraphFont"/>
    <w:qFormat/>
    <w:rsid w:val="00ee3a16"/>
    <w:rPr/>
  </w:style>
  <w:style w:type="character" w:styleId="UnresolvedMention">
    <w:name w:val="Unresolved Mention"/>
    <w:basedOn w:val="DefaultParagraphFont"/>
    <w:uiPriority w:val="99"/>
    <w:semiHidden/>
    <w:unhideWhenUsed/>
    <w:qFormat/>
    <w:rsid w:val="004d35d7"/>
    <w:rPr>
      <w:color w:val="605E5C"/>
      <w:shd w:fill="E1DFDD" w:val="clear"/>
    </w:rPr>
  </w:style>
  <w:style w:type="character" w:styleId="Hyperlink">
    <w:name w:val="Hyperlink"/>
    <w:rPr>
      <w:color w:val="000080"/>
      <w:u w:val="single"/>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ZkladntextChar"/>
    <w:pPr>
      <w:tabs>
        <w:tab w:val="clear" w:pos="709"/>
        <w:tab w:val="left" w:pos="540" w:leader="none"/>
        <w:tab w:val="left" w:pos="1260" w:leader="none"/>
        <w:tab w:val="left" w:pos="1980" w:leader="none"/>
        <w:tab w:val="left" w:pos="3960" w:leader="none"/>
      </w:tabs>
      <w:jc w:val="both"/>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Import16" w:customStyle="1">
    <w:name w:val="Import 16"/>
    <w:basedOn w:val="Normal"/>
    <w:qFormat/>
    <w:pPr>
      <w:widowControl w:val="false"/>
      <w:tabs>
        <w:tab w:val="clear" w:pos="709"/>
        <w:tab w:val="left" w:pos="864" w:leader="none"/>
      </w:tabs>
      <w:ind w:hanging="144"/>
    </w:pPr>
    <w:rPr>
      <w:rFonts w:ascii="Courier New" w:hAnsi="Courier New" w:cs="Courier New"/>
    </w:rPr>
  </w:style>
  <w:style w:type="paragraph" w:styleId="BodyTextIndent2">
    <w:name w:val="Body Text Indent 2"/>
    <w:basedOn w:val="Normal"/>
    <w:qFormat/>
    <w:pPr>
      <w:widowControl w:val="false"/>
      <w:ind w:hanging="567" w:left="567"/>
      <w:jc w:val="both"/>
    </w:pPr>
    <w:rPr/>
  </w:style>
  <w:style w:type="paragraph" w:styleId="Import5" w:customStyle="1">
    <w:name w:val="Import 5"/>
    <w:basedOn w:val="Normal"/>
    <w:qFormat/>
    <w:pPr>
      <w:widowControl w:val="false"/>
      <w:tabs>
        <w:tab w:val="clear" w:pos="709"/>
        <w:tab w:val="left" w:pos="720" w:leader="none"/>
        <w:tab w:val="left" w:pos="1584" w:leader="none"/>
        <w:tab w:val="left" w:pos="2448" w:leader="none"/>
        <w:tab w:val="left" w:pos="3312" w:leader="none"/>
        <w:tab w:val="left" w:pos="4176" w:leader="none"/>
        <w:tab w:val="left" w:pos="5040" w:leader="none"/>
        <w:tab w:val="left" w:pos="5904" w:leader="none"/>
        <w:tab w:val="left" w:pos="6768" w:leader="none"/>
        <w:tab w:val="left" w:pos="7632" w:leader="none"/>
        <w:tab w:val="left" w:pos="8496" w:leader="none"/>
        <w:tab w:val="left" w:pos="9360" w:leader="none"/>
        <w:tab w:val="left" w:pos="10224" w:leader="none"/>
        <w:tab w:val="left" w:pos="11088" w:leader="none"/>
        <w:tab w:val="left" w:pos="11952" w:leader="none"/>
        <w:tab w:val="left" w:pos="12816" w:leader="none"/>
        <w:tab w:val="left" w:pos="13680" w:leader="none"/>
        <w:tab w:val="left" w:pos="14544" w:leader="none"/>
        <w:tab w:val="left" w:pos="15408" w:leader="none"/>
        <w:tab w:val="left" w:pos="16272" w:leader="none"/>
        <w:tab w:val="left" w:pos="17136" w:leader="none"/>
        <w:tab w:val="left" w:pos="18000" w:leader="none"/>
        <w:tab w:val="left" w:pos="18864" w:leader="none"/>
      </w:tabs>
      <w:ind w:hanging="288"/>
    </w:pPr>
    <w:rPr>
      <w:rFonts w:ascii="Courier New" w:hAnsi="Courier New" w:cs="Courier New"/>
    </w:rPr>
  </w:style>
  <w:style w:type="paragraph" w:styleId="Import3" w:customStyle="1">
    <w:name w:val="Import 3"/>
    <w:basedOn w:val="Normal"/>
    <w:qFormat/>
    <w:pPr>
      <w:widowControl w:val="false"/>
      <w:tabs>
        <w:tab w:val="clear" w:pos="709"/>
        <w:tab w:val="left" w:pos="720" w:leader="none"/>
        <w:tab w:val="left" w:pos="1584" w:leader="none"/>
        <w:tab w:val="left" w:pos="2448" w:leader="none"/>
        <w:tab w:val="left" w:pos="3312" w:leader="none"/>
        <w:tab w:val="left" w:pos="4176" w:leader="none"/>
        <w:tab w:val="left" w:pos="5040" w:leader="none"/>
        <w:tab w:val="left" w:pos="5904" w:leader="none"/>
        <w:tab w:val="left" w:pos="6768" w:leader="none"/>
        <w:tab w:val="left" w:pos="7632" w:leader="none"/>
        <w:tab w:val="left" w:pos="8496" w:leader="none"/>
        <w:tab w:val="left" w:pos="9360" w:leader="none"/>
        <w:tab w:val="left" w:pos="10224" w:leader="none"/>
        <w:tab w:val="left" w:pos="11088" w:leader="none"/>
        <w:tab w:val="left" w:pos="11952" w:leader="none"/>
        <w:tab w:val="left" w:pos="12816" w:leader="none"/>
        <w:tab w:val="left" w:pos="13680" w:leader="none"/>
        <w:tab w:val="left" w:pos="14544" w:leader="none"/>
        <w:tab w:val="left" w:pos="15408" w:leader="none"/>
        <w:tab w:val="left" w:pos="16272" w:leader="none"/>
        <w:tab w:val="left" w:pos="17136" w:leader="none"/>
        <w:tab w:val="left" w:pos="18000" w:leader="none"/>
        <w:tab w:val="left" w:pos="18864" w:leader="none"/>
      </w:tabs>
    </w:pPr>
    <w:rPr>
      <w:rFonts w:ascii="Courier New" w:hAnsi="Courier New" w:cs="Courier New"/>
    </w:rPr>
  </w:style>
  <w:style w:type="paragraph" w:styleId="BodyText3">
    <w:name w:val="Body Text 3"/>
    <w:basedOn w:val="Normal"/>
    <w:qFormat/>
    <w:pPr>
      <w:spacing w:lineRule="exact" w:line="240"/>
      <w:jc w:val="both"/>
    </w:pPr>
    <w:rPr>
      <w:szCs w:val="20"/>
    </w:rPr>
  </w:style>
  <w:style w:type="paragraph" w:styleId="Smlouva-eslo" w:customStyle="1">
    <w:name w:val="Smlouva-eíslo"/>
    <w:basedOn w:val="Normal"/>
    <w:qFormat/>
    <w:pPr>
      <w:widowControl w:val="false"/>
      <w:spacing w:lineRule="atLeast" w:line="240" w:before="120" w:after="0"/>
      <w:jc w:val="both"/>
    </w:pPr>
    <w:rPr>
      <w:szCs w:val="20"/>
    </w:rPr>
  </w:style>
  <w:style w:type="paragraph" w:styleId="Smlouva2" w:customStyle="1">
    <w:name w:val="Smlouva2"/>
    <w:basedOn w:val="Normal"/>
    <w:qFormat/>
    <w:pPr>
      <w:widowControl w:val="false"/>
      <w:jc w:val="center"/>
    </w:pPr>
    <w:rPr>
      <w:b/>
      <w:szCs w:val="20"/>
    </w:rPr>
  </w:style>
  <w:style w:type="paragraph" w:styleId="Zhlavazpat">
    <w:name w:val="Záhlaví a zápatí"/>
    <w:basedOn w:val="Normal"/>
    <w:qFormat/>
    <w:pPr/>
    <w:rPr/>
  </w:style>
  <w:style w:type="paragraph" w:styleId="Footer">
    <w:name w:val="Footer"/>
    <w:basedOn w:val="Normal"/>
    <w:pPr>
      <w:tabs>
        <w:tab w:val="clear" w:pos="709"/>
        <w:tab w:val="center" w:pos="4536" w:leader="none"/>
        <w:tab w:val="right" w:pos="9072" w:leader="none"/>
      </w:tabs>
    </w:pPr>
    <w:rPr/>
  </w:style>
  <w:style w:type="paragraph" w:styleId="BodyTextIndented">
    <w:name w:val="Body Text, Indented"/>
    <w:basedOn w:val="Normal"/>
    <w:qFormat/>
    <w:pPr>
      <w:tabs>
        <w:tab w:val="clear" w:pos="709"/>
        <w:tab w:val="left" w:pos="357" w:leader="none"/>
        <w:tab w:val="left" w:pos="540" w:leader="none"/>
        <w:tab w:val="left" w:pos="1980" w:leader="none"/>
        <w:tab w:val="left" w:pos="7380" w:leader="none"/>
      </w:tabs>
      <w:ind w:hanging="540" w:left="540"/>
      <w:jc w:val="both"/>
    </w:pPr>
    <w:rPr/>
  </w:style>
  <w:style w:type="paragraph" w:styleId="Header">
    <w:name w:val="Header"/>
    <w:basedOn w:val="Normal"/>
    <w:link w:val="ZhlavChar"/>
    <w:pPr>
      <w:tabs>
        <w:tab w:val="clear" w:pos="709"/>
        <w:tab w:val="center" w:pos="4536" w:leader="none"/>
        <w:tab w:val="right" w:pos="9072" w:leader="none"/>
      </w:tabs>
    </w:pPr>
    <w:rPr/>
  </w:style>
  <w:style w:type="paragraph" w:styleId="BodyTextIndent3">
    <w:name w:val="Body Text Indent 3"/>
    <w:basedOn w:val="Normal"/>
    <w:qFormat/>
    <w:pPr>
      <w:tabs>
        <w:tab w:val="clear" w:pos="709"/>
        <w:tab w:val="left" w:pos="426" w:leader="none"/>
      </w:tabs>
      <w:ind w:left="357"/>
      <w:jc w:val="both"/>
    </w:pPr>
    <w:rPr>
      <w:i/>
      <w:iCs/>
    </w:rPr>
  </w:style>
  <w:style w:type="paragraph" w:styleId="BodyText2">
    <w:name w:val="Body Text 2"/>
    <w:basedOn w:val="Normal"/>
    <w:qFormat/>
    <w:pPr>
      <w:tabs>
        <w:tab w:val="clear" w:pos="709"/>
        <w:tab w:val="left" w:pos="567" w:leader="none"/>
        <w:tab w:val="left" w:pos="1701" w:leader="none"/>
      </w:tabs>
      <w:spacing w:before="0" w:after="120"/>
    </w:pPr>
    <w:rPr>
      <w:sz w:val="20"/>
    </w:rPr>
  </w:style>
  <w:style w:type="paragraph" w:styleId="Smlouva-slo" w:customStyle="1">
    <w:name w:val="Smlouva-èíslo"/>
    <w:basedOn w:val="Normal"/>
    <w:qFormat/>
    <w:pPr>
      <w:spacing w:lineRule="atLeast" w:line="240" w:before="120" w:after="0"/>
      <w:jc w:val="both"/>
    </w:pPr>
    <w:rPr>
      <w:szCs w:val="20"/>
    </w:rPr>
  </w:style>
  <w:style w:type="paragraph" w:styleId="Title">
    <w:name w:val="Title"/>
    <w:basedOn w:val="Normal"/>
    <w:qFormat/>
    <w:pPr>
      <w:widowControl w:val="false"/>
      <w:jc w:val="center"/>
    </w:pPr>
    <w:rPr>
      <w:b/>
      <w:bCs/>
      <w:sz w:val="32"/>
      <w:szCs w:val="20"/>
    </w:rPr>
  </w:style>
  <w:style w:type="paragraph" w:styleId="Smlouva-slo1" w:customStyle="1">
    <w:name w:val="Smlouva-číslo"/>
    <w:basedOn w:val="Normal"/>
    <w:qFormat/>
    <w:pPr>
      <w:widowControl w:val="false"/>
      <w:spacing w:lineRule="atLeast" w:line="240" w:before="120" w:after="0"/>
      <w:jc w:val="both"/>
    </w:pPr>
    <w:rPr>
      <w:szCs w:val="20"/>
    </w:rPr>
  </w:style>
  <w:style w:type="paragraph" w:styleId="slovnvSOD" w:customStyle="1">
    <w:name w:val="číslování v SOD"/>
    <w:basedOn w:val="BodyText"/>
    <w:qFormat/>
    <w:pPr>
      <w:widowControl w:val="false"/>
      <w:numPr>
        <w:ilvl w:val="0"/>
        <w:numId w:val="6"/>
      </w:numPr>
      <w:tabs>
        <w:tab w:val="clear" w:pos="540"/>
        <w:tab w:val="clear" w:pos="1260"/>
        <w:tab w:val="clear" w:pos="1980"/>
        <w:tab w:val="clear" w:pos="3960"/>
      </w:tabs>
      <w:spacing w:before="0" w:after="120"/>
    </w:pPr>
    <w:rPr>
      <w:rFonts w:ascii="Arial" w:hAnsi="Arial"/>
      <w:sz w:val="22"/>
      <w:szCs w:val="20"/>
    </w:rPr>
  </w:style>
  <w:style w:type="paragraph" w:styleId="Smlouva3" w:customStyle="1">
    <w:name w:val="Smlouva3"/>
    <w:basedOn w:val="Normal"/>
    <w:qFormat/>
    <w:pPr>
      <w:widowControl w:val="false"/>
      <w:spacing w:before="120" w:after="0"/>
      <w:jc w:val="both"/>
    </w:pPr>
    <w:rPr>
      <w:szCs w:val="20"/>
    </w:rPr>
  </w:style>
  <w:style w:type="paragraph" w:styleId="xl24" w:customStyle="1">
    <w:name w:val="xl24"/>
    <w:basedOn w:val="Normal"/>
    <w:qFormat/>
    <w:pPr>
      <w:pBdr>
        <w:top w:val="single" w:sz="8" w:space="0" w:color="000000"/>
        <w:right w:val="single" w:sz="4" w:space="0" w:color="000000"/>
      </w:pBdr>
      <w:spacing w:beforeAutospacing="1" w:afterAutospacing="1"/>
      <w:jc w:val="center"/>
      <w:textAlignment w:val="center"/>
    </w:pPr>
    <w:rPr>
      <w:b/>
      <w:bCs/>
    </w:rPr>
  </w:style>
  <w:style w:type="paragraph" w:styleId="xl25" w:customStyle="1">
    <w:name w:val="xl25"/>
    <w:basedOn w:val="Normal"/>
    <w:qFormat/>
    <w:pPr>
      <w:pBdr>
        <w:top w:val="single" w:sz="8" w:space="0" w:color="000000"/>
        <w:left w:val="single" w:sz="4" w:space="0" w:color="000000"/>
        <w:right w:val="single" w:sz="4" w:space="0" w:color="000000"/>
      </w:pBdr>
      <w:spacing w:beforeAutospacing="1" w:afterAutospacing="1"/>
      <w:jc w:val="center"/>
      <w:textAlignment w:val="center"/>
    </w:pPr>
    <w:rPr>
      <w:b/>
      <w:bCs/>
    </w:rPr>
  </w:style>
  <w:style w:type="paragraph" w:styleId="xl26" w:customStyle="1">
    <w:name w:val="xl26"/>
    <w:basedOn w:val="Normal"/>
    <w:qFormat/>
    <w:pPr>
      <w:pBdr>
        <w:top w:val="single" w:sz="8" w:space="0" w:color="000000"/>
        <w:left w:val="single" w:sz="4" w:space="0" w:color="000000"/>
        <w:right w:val="single" w:sz="8" w:space="0" w:color="000000"/>
      </w:pBdr>
      <w:spacing w:beforeAutospacing="1" w:afterAutospacing="1"/>
      <w:jc w:val="center"/>
      <w:textAlignment w:val="center"/>
    </w:pPr>
    <w:rPr>
      <w:b/>
      <w:bCs/>
    </w:rPr>
  </w:style>
  <w:style w:type="paragraph" w:styleId="xl27" w:customStyle="1">
    <w:name w:val="xl27"/>
    <w:basedOn w:val="Normal"/>
    <w:qFormat/>
    <w:pPr>
      <w:pBdr>
        <w:left w:val="single" w:sz="8" w:space="0" w:color="000000"/>
        <w:bottom w:val="single" w:sz="8" w:space="0" w:color="000000"/>
      </w:pBdr>
      <w:spacing w:beforeAutospacing="1" w:afterAutospacing="1"/>
      <w:jc w:val="center"/>
      <w:textAlignment w:val="center"/>
    </w:pPr>
    <w:rPr>
      <w:b/>
      <w:bCs/>
    </w:rPr>
  </w:style>
  <w:style w:type="paragraph" w:styleId="xl28" w:customStyle="1">
    <w:name w:val="xl28"/>
    <w:basedOn w:val="Normal"/>
    <w:qFormat/>
    <w:pPr>
      <w:pBdr>
        <w:bottom w:val="single" w:sz="8" w:space="0" w:color="000000"/>
        <w:right w:val="single" w:sz="4" w:space="0" w:color="000000"/>
      </w:pBdr>
      <w:spacing w:beforeAutospacing="1" w:afterAutospacing="1"/>
      <w:jc w:val="center"/>
      <w:textAlignment w:val="center"/>
    </w:pPr>
    <w:rPr>
      <w:b/>
      <w:bCs/>
    </w:rPr>
  </w:style>
  <w:style w:type="paragraph" w:styleId="xl29" w:customStyle="1">
    <w:name w:val="xl29"/>
    <w:basedOn w:val="Normal"/>
    <w:qFormat/>
    <w:pPr>
      <w:pBdr>
        <w:left w:val="single" w:sz="4" w:space="0" w:color="000000"/>
        <w:bottom w:val="single" w:sz="8" w:space="0" w:color="000000"/>
        <w:right w:val="single" w:sz="4" w:space="0" w:color="000000"/>
      </w:pBdr>
      <w:spacing w:beforeAutospacing="1" w:afterAutospacing="1"/>
      <w:jc w:val="center"/>
      <w:textAlignment w:val="center"/>
    </w:pPr>
    <w:rPr>
      <w:b/>
      <w:bCs/>
    </w:rPr>
  </w:style>
  <w:style w:type="paragraph" w:styleId="xl30" w:customStyle="1">
    <w:name w:val="xl30"/>
    <w:basedOn w:val="Normal"/>
    <w:qFormat/>
    <w:pPr>
      <w:pBdr>
        <w:left w:val="single" w:sz="4" w:space="0" w:color="000000"/>
        <w:bottom w:val="single" w:sz="8" w:space="0" w:color="000000"/>
        <w:right w:val="single" w:sz="8" w:space="0" w:color="000000"/>
      </w:pBdr>
      <w:spacing w:beforeAutospacing="1" w:afterAutospacing="1"/>
      <w:jc w:val="center"/>
      <w:textAlignment w:val="center"/>
    </w:pPr>
    <w:rPr>
      <w:b/>
      <w:bCs/>
    </w:rPr>
  </w:style>
  <w:style w:type="paragraph" w:styleId="xl31" w:customStyle="1">
    <w:name w:val="xl31"/>
    <w:basedOn w:val="Normal"/>
    <w:qFormat/>
    <w:pPr>
      <w:pBdr>
        <w:top w:val="single" w:sz="8" w:space="0" w:color="000000"/>
        <w:left w:val="single" w:sz="8" w:space="0" w:color="000000"/>
        <w:right w:val="single" w:sz="4" w:space="0" w:color="000000"/>
      </w:pBdr>
      <w:spacing w:beforeAutospacing="1" w:afterAutospacing="1"/>
      <w:jc w:val="center"/>
      <w:textAlignment w:val="center"/>
    </w:pPr>
    <w:rPr>
      <w:sz w:val="22"/>
      <w:szCs w:val="22"/>
    </w:rPr>
  </w:style>
  <w:style w:type="paragraph" w:styleId="xl32" w:customStyle="1">
    <w:name w:val="xl32"/>
    <w:basedOn w:val="Normal"/>
    <w:qFormat/>
    <w:pPr>
      <w:pBdr>
        <w:top w:val="single" w:sz="8" w:space="0" w:color="000000"/>
        <w:left w:val="single" w:sz="4" w:space="0" w:color="000000"/>
        <w:right w:val="single" w:sz="4" w:space="0" w:color="000000"/>
      </w:pBdr>
      <w:spacing w:beforeAutospacing="1" w:afterAutospacing="1"/>
      <w:textAlignment w:val="center"/>
    </w:pPr>
    <w:rPr>
      <w:sz w:val="22"/>
      <w:szCs w:val="22"/>
    </w:rPr>
  </w:style>
  <w:style w:type="paragraph" w:styleId="xl33" w:customStyle="1">
    <w:name w:val="xl33"/>
    <w:basedOn w:val="Normal"/>
    <w:qFormat/>
    <w:pPr>
      <w:pBdr>
        <w:top w:val="single" w:sz="8" w:space="0" w:color="000000"/>
        <w:bottom w:val="single" w:sz="4" w:space="0" w:color="000000"/>
        <w:right w:val="single" w:sz="4" w:space="0" w:color="000000"/>
      </w:pBdr>
      <w:spacing w:beforeAutospacing="1" w:afterAutospacing="1"/>
      <w:jc w:val="center"/>
      <w:textAlignment w:val="center"/>
    </w:pPr>
    <w:rPr>
      <w:sz w:val="22"/>
      <w:szCs w:val="22"/>
    </w:rPr>
  </w:style>
  <w:style w:type="paragraph" w:styleId="xl34" w:customStyle="1">
    <w:name w:val="xl34"/>
    <w:basedOn w:val="Normal"/>
    <w:qFormat/>
    <w:pPr>
      <w:pBdr>
        <w:top w:val="single" w:sz="8" w:space="0" w:color="000000"/>
        <w:bottom w:val="single" w:sz="4" w:space="0" w:color="000000"/>
        <w:right w:val="single" w:sz="4" w:space="0" w:color="000000"/>
      </w:pBdr>
      <w:spacing w:beforeAutospacing="1" w:afterAutospacing="1"/>
      <w:jc w:val="right"/>
      <w:textAlignment w:val="center"/>
    </w:pPr>
    <w:rPr>
      <w:sz w:val="22"/>
      <w:szCs w:val="22"/>
    </w:rPr>
  </w:style>
  <w:style w:type="paragraph" w:styleId="xl35" w:customStyle="1">
    <w:name w:val="xl35"/>
    <w:basedOn w:val="Normal"/>
    <w:qFormat/>
    <w:pPr>
      <w:pBdr>
        <w:top w:val="single" w:sz="8" w:space="0" w:color="000000"/>
        <w:bottom w:val="single" w:sz="4" w:space="0" w:color="000000"/>
        <w:right w:val="single" w:sz="8" w:space="0" w:color="000000"/>
      </w:pBdr>
      <w:spacing w:beforeAutospacing="1" w:afterAutospacing="1"/>
      <w:jc w:val="right"/>
      <w:textAlignment w:val="center"/>
    </w:pPr>
    <w:rPr>
      <w:sz w:val="22"/>
      <w:szCs w:val="22"/>
    </w:rPr>
  </w:style>
  <w:style w:type="paragraph" w:styleId="xl36" w:customStyle="1">
    <w:name w:val="xl36"/>
    <w:basedOn w:val="Normal"/>
    <w:qFormat/>
    <w:pPr>
      <w:pBdr>
        <w:left w:val="single" w:sz="8" w:space="0" w:color="000000"/>
        <w:right w:val="single" w:sz="4" w:space="0" w:color="000000"/>
      </w:pBdr>
      <w:spacing w:beforeAutospacing="1" w:afterAutospacing="1"/>
      <w:jc w:val="center"/>
      <w:textAlignment w:val="center"/>
    </w:pPr>
    <w:rPr>
      <w:sz w:val="22"/>
      <w:szCs w:val="22"/>
    </w:rPr>
  </w:style>
  <w:style w:type="paragraph" w:styleId="xl37" w:customStyle="1">
    <w:name w:val="xl37"/>
    <w:basedOn w:val="Normal"/>
    <w:qFormat/>
    <w:pPr>
      <w:pBdr>
        <w:left w:val="single" w:sz="8" w:space="0" w:color="000000"/>
        <w:bottom w:val="single" w:sz="8" w:space="0" w:color="000000"/>
        <w:right w:val="single" w:sz="4" w:space="0" w:color="000000"/>
      </w:pBdr>
      <w:spacing w:beforeAutospacing="1" w:afterAutospacing="1"/>
      <w:jc w:val="center"/>
      <w:textAlignment w:val="center"/>
    </w:pPr>
    <w:rPr>
      <w:sz w:val="22"/>
      <w:szCs w:val="22"/>
    </w:rPr>
  </w:style>
  <w:style w:type="paragraph" w:styleId="xl38" w:customStyle="1">
    <w:name w:val="xl38"/>
    <w:basedOn w:val="Normal"/>
    <w:qFormat/>
    <w:pPr>
      <w:pBdr>
        <w:left w:val="single" w:sz="4" w:space="0" w:color="000000"/>
        <w:bottom w:val="single" w:sz="8" w:space="0" w:color="000000"/>
      </w:pBdr>
      <w:spacing w:beforeAutospacing="1" w:afterAutospacing="1"/>
      <w:textAlignment w:val="center"/>
    </w:pPr>
    <w:rPr>
      <w:sz w:val="22"/>
      <w:szCs w:val="22"/>
    </w:rPr>
  </w:style>
  <w:style w:type="paragraph" w:styleId="xl39" w:customStyle="1">
    <w:name w:val="xl39"/>
    <w:basedOn w:val="Normal"/>
    <w:qFormat/>
    <w:pPr>
      <w:pBdr>
        <w:right w:val="single" w:sz="4" w:space="0" w:color="000000"/>
      </w:pBdr>
      <w:spacing w:beforeAutospacing="1" w:afterAutospacing="1"/>
      <w:jc w:val="center"/>
      <w:textAlignment w:val="center"/>
    </w:pPr>
    <w:rPr>
      <w:sz w:val="22"/>
      <w:szCs w:val="22"/>
    </w:rPr>
  </w:style>
  <w:style w:type="paragraph" w:styleId="xl40" w:customStyle="1">
    <w:name w:val="xl40"/>
    <w:basedOn w:val="Normal"/>
    <w:qFormat/>
    <w:pPr>
      <w:pBdr>
        <w:right w:val="single" w:sz="4" w:space="0" w:color="000000"/>
      </w:pBdr>
      <w:spacing w:beforeAutospacing="1" w:afterAutospacing="1"/>
      <w:jc w:val="right"/>
      <w:textAlignment w:val="center"/>
    </w:pPr>
    <w:rPr>
      <w:sz w:val="22"/>
      <w:szCs w:val="22"/>
    </w:rPr>
  </w:style>
  <w:style w:type="paragraph" w:styleId="xl41" w:customStyle="1">
    <w:name w:val="xl41"/>
    <w:basedOn w:val="Normal"/>
    <w:qFormat/>
    <w:pPr>
      <w:pBdr>
        <w:right w:val="single" w:sz="8" w:space="0" w:color="000000"/>
      </w:pBdr>
      <w:spacing w:beforeAutospacing="1" w:afterAutospacing="1"/>
      <w:jc w:val="right"/>
      <w:textAlignment w:val="center"/>
    </w:pPr>
    <w:rPr>
      <w:sz w:val="22"/>
      <w:szCs w:val="22"/>
    </w:rPr>
  </w:style>
  <w:style w:type="paragraph" w:styleId="xl42" w:customStyle="1">
    <w:name w:val="xl42"/>
    <w:basedOn w:val="Normal"/>
    <w:qFormat/>
    <w:pPr>
      <w:pBdr>
        <w:top w:val="single" w:sz="8" w:space="0" w:color="000000"/>
        <w:left w:val="single" w:sz="8" w:space="0" w:color="000000"/>
        <w:bottom w:val="single" w:sz="8" w:space="0" w:color="000000"/>
        <w:right w:val="single" w:sz="4" w:space="0" w:color="000000"/>
      </w:pBdr>
      <w:spacing w:beforeAutospacing="1" w:afterAutospacing="1"/>
      <w:jc w:val="center"/>
      <w:textAlignment w:val="center"/>
    </w:pPr>
    <w:rPr>
      <w:sz w:val="22"/>
      <w:szCs w:val="22"/>
    </w:rPr>
  </w:style>
  <w:style w:type="paragraph" w:styleId="xl43" w:customStyle="1">
    <w:name w:val="xl43"/>
    <w:basedOn w:val="Normal"/>
    <w:qFormat/>
    <w:pPr>
      <w:pBdr>
        <w:top w:val="single" w:sz="8" w:space="0" w:color="000000"/>
        <w:bottom w:val="single" w:sz="8" w:space="0" w:color="000000"/>
        <w:right w:val="single" w:sz="4" w:space="0" w:color="000000"/>
      </w:pBdr>
      <w:spacing w:beforeAutospacing="1" w:afterAutospacing="1"/>
      <w:jc w:val="right"/>
      <w:textAlignment w:val="center"/>
    </w:pPr>
    <w:rPr>
      <w:sz w:val="22"/>
      <w:szCs w:val="22"/>
    </w:rPr>
  </w:style>
  <w:style w:type="paragraph" w:styleId="xl44" w:customStyle="1">
    <w:name w:val="xl44"/>
    <w:basedOn w:val="Normal"/>
    <w:qFormat/>
    <w:pPr>
      <w:pBdr>
        <w:top w:val="single" w:sz="8" w:space="0" w:color="000000"/>
        <w:bottom w:val="single" w:sz="8" w:space="0" w:color="000000"/>
        <w:right w:val="single" w:sz="8" w:space="0" w:color="000000"/>
      </w:pBdr>
      <w:spacing w:beforeAutospacing="1" w:afterAutospacing="1"/>
      <w:jc w:val="right"/>
      <w:textAlignment w:val="center"/>
    </w:pPr>
    <w:rPr>
      <w:sz w:val="22"/>
      <w:szCs w:val="22"/>
    </w:rPr>
  </w:style>
  <w:style w:type="paragraph" w:styleId="xl45" w:customStyle="1">
    <w:name w:val="xl45"/>
    <w:basedOn w:val="Normal"/>
    <w:qFormat/>
    <w:pPr>
      <w:pBdr>
        <w:top w:val="single" w:sz="4" w:space="0" w:color="000000"/>
        <w:left w:val="single" w:sz="4" w:space="0" w:color="000000"/>
        <w:bottom w:val="single" w:sz="4" w:space="0" w:color="000000"/>
      </w:pBdr>
      <w:shd w:val="clear" w:color="auto" w:fill="C0C0C0"/>
      <w:spacing w:beforeAutospacing="1" w:afterAutospacing="1"/>
      <w:jc w:val="center"/>
      <w:textAlignment w:val="center"/>
    </w:pPr>
    <w:rPr>
      <w:b/>
      <w:bCs/>
      <w:color w:val="000000"/>
      <w:sz w:val="22"/>
      <w:szCs w:val="22"/>
    </w:rPr>
  </w:style>
  <w:style w:type="paragraph" w:styleId="xl46" w:customStyle="1">
    <w:name w:val="xl46"/>
    <w:basedOn w:val="Normal"/>
    <w:qFormat/>
    <w:pPr>
      <w:pBdr>
        <w:top w:val="single" w:sz="4" w:space="0" w:color="000000"/>
        <w:bottom w:val="single" w:sz="4" w:space="0" w:color="000000"/>
      </w:pBdr>
      <w:shd w:val="clear" w:color="auto" w:fill="C0C0C0"/>
      <w:spacing w:beforeAutospacing="1" w:afterAutospacing="1"/>
      <w:jc w:val="center"/>
      <w:textAlignment w:val="center"/>
    </w:pPr>
    <w:rPr>
      <w:b/>
      <w:bCs/>
      <w:color w:val="000000"/>
      <w:sz w:val="22"/>
      <w:szCs w:val="22"/>
    </w:rPr>
  </w:style>
  <w:style w:type="paragraph" w:styleId="xl47" w:customStyle="1">
    <w:name w:val="xl47"/>
    <w:basedOn w:val="Normal"/>
    <w:qFormat/>
    <w:pPr>
      <w:pBdr>
        <w:top w:val="single" w:sz="4" w:space="0" w:color="000000"/>
        <w:bottom w:val="single" w:sz="4" w:space="0" w:color="000000"/>
        <w:right w:val="single" w:sz="4" w:space="0" w:color="000000"/>
      </w:pBdr>
      <w:shd w:val="clear" w:color="auto" w:fill="C0C0C0"/>
      <w:spacing w:beforeAutospacing="1" w:afterAutospacing="1"/>
      <w:jc w:val="center"/>
      <w:textAlignment w:val="center"/>
    </w:pPr>
    <w:rPr>
      <w:b/>
      <w:bCs/>
      <w:color w:val="000000"/>
      <w:sz w:val="22"/>
      <w:szCs w:val="22"/>
    </w:rPr>
  </w:style>
  <w:style w:type="paragraph" w:styleId="xl48" w:customStyle="1">
    <w:name w:val="xl48"/>
    <w:basedOn w:val="Normal"/>
    <w:qFormat/>
    <w:pPr>
      <w:pBdr>
        <w:bottom w:val="single" w:sz="4" w:space="0" w:color="000000"/>
        <w:right w:val="single" w:sz="4" w:space="0" w:color="000000"/>
      </w:pBdr>
      <w:shd w:val="clear" w:color="auto" w:fill="C0C0C0"/>
      <w:spacing w:beforeAutospacing="1" w:afterAutospacing="1"/>
      <w:jc w:val="center"/>
      <w:textAlignment w:val="center"/>
    </w:pPr>
    <w:rPr>
      <w:sz w:val="22"/>
      <w:szCs w:val="22"/>
    </w:rPr>
  </w:style>
  <w:style w:type="paragraph" w:styleId="xl49" w:customStyle="1">
    <w:name w:val="xl49"/>
    <w:basedOn w:val="Normal"/>
    <w:qFormat/>
    <w:pPr>
      <w:pBdr>
        <w:top w:val="single" w:sz="4" w:space="0" w:color="000000"/>
        <w:bottom w:val="single" w:sz="4" w:space="0" w:color="000000"/>
        <w:right w:val="single" w:sz="4" w:space="0" w:color="000000"/>
      </w:pBdr>
      <w:shd w:val="clear" w:color="auto" w:fill="C0C0C0"/>
      <w:spacing w:beforeAutospacing="1" w:afterAutospacing="1"/>
      <w:jc w:val="center"/>
      <w:textAlignment w:val="center"/>
    </w:pPr>
    <w:rPr>
      <w:rFonts w:eastAsia="Arial Unicode MS"/>
      <w:b/>
      <w:bCs/>
      <w:color w:val="000000"/>
      <w:sz w:val="22"/>
      <w:szCs w:val="22"/>
    </w:rPr>
  </w:style>
  <w:style w:type="paragraph" w:styleId="xl50" w:customStyle="1">
    <w:name w:val="xl50"/>
    <w:basedOn w:val="Normal"/>
    <w:qFormat/>
    <w:pPr>
      <w:pBdr>
        <w:bottom w:val="single" w:sz="4" w:space="0" w:color="000000"/>
        <w:right w:val="single" w:sz="4" w:space="0" w:color="000000"/>
      </w:pBdr>
      <w:shd w:val="clear" w:color="auto" w:fill="C0C0C0"/>
      <w:spacing w:beforeAutospacing="1" w:afterAutospacing="1"/>
      <w:jc w:val="center"/>
      <w:textAlignment w:val="center"/>
    </w:pPr>
    <w:rPr>
      <w:rFonts w:eastAsia="Arial Unicode MS"/>
      <w:sz w:val="22"/>
      <w:szCs w:val="22"/>
    </w:rPr>
  </w:style>
  <w:style w:type="paragraph" w:styleId="NzevSmlouvy" w:customStyle="1">
    <w:name w:val="NázevSmlouvy"/>
    <w:basedOn w:val="Header"/>
    <w:next w:val="Normal"/>
    <w:qFormat/>
    <w:pPr>
      <w:keepNext w:val="true"/>
      <w:widowControl w:val="false"/>
      <w:tabs>
        <w:tab w:val="clear" w:pos="4536"/>
        <w:tab w:val="clear" w:pos="9072"/>
      </w:tabs>
      <w:spacing w:before="480" w:after="0"/>
      <w:jc w:val="center"/>
    </w:pPr>
    <w:rPr>
      <w:b/>
      <w:bCs/>
      <w:sz w:val="32"/>
      <w:szCs w:val="20"/>
    </w:rPr>
  </w:style>
  <w:style w:type="paragraph" w:styleId="OdstavecSmlouvy" w:customStyle="1">
    <w:name w:val="OdstavecSmlouvy"/>
    <w:basedOn w:val="Normal"/>
    <w:qFormat/>
    <w:pPr>
      <w:keepLines/>
      <w:numPr>
        <w:ilvl w:val="0"/>
        <w:numId w:val="1"/>
      </w:numPr>
      <w:tabs>
        <w:tab w:val="clear" w:pos="709"/>
        <w:tab w:val="left" w:pos="426" w:leader="none"/>
        <w:tab w:val="left" w:pos="1701" w:leader="none"/>
      </w:tabs>
      <w:spacing w:before="0" w:after="120"/>
      <w:jc w:val="both"/>
    </w:pPr>
    <w:rPr>
      <w:szCs w:val="20"/>
    </w:rPr>
  </w:style>
  <w:style w:type="paragraph" w:styleId="slovanPododstavecSmlouvy" w:customStyle="1">
    <w:name w:val="ČíslovanýPododstavecSmlouvy"/>
    <w:basedOn w:val="BodyText"/>
    <w:qFormat/>
    <w:pPr>
      <w:numPr>
        <w:ilvl w:val="0"/>
        <w:numId w:val="20"/>
      </w:numPr>
      <w:tabs>
        <w:tab w:val="clear" w:pos="540"/>
        <w:tab w:val="left" w:pos="284" w:leader="none"/>
        <w:tab w:val="left" w:pos="1260" w:leader="none"/>
        <w:tab w:val="left" w:pos="1980" w:leader="none"/>
        <w:tab w:val="left" w:pos="3960" w:leader="none"/>
      </w:tabs>
    </w:pPr>
    <w:rPr/>
  </w:style>
  <w:style w:type="paragraph" w:styleId="dajeOSmluvnStran" w:customStyle="1">
    <w:name w:val="ÚdajeOSmluvníStraně"/>
    <w:basedOn w:val="Normal"/>
    <w:qFormat/>
    <w:pPr>
      <w:ind w:left="357"/>
    </w:pPr>
    <w:rPr>
      <w:szCs w:val="20"/>
    </w:rPr>
  </w:style>
  <w:style w:type="paragraph" w:styleId="BalloonText">
    <w:name w:val="Balloon Text"/>
    <w:basedOn w:val="Normal"/>
    <w:semiHidden/>
    <w:qFormat/>
    <w:pPr/>
    <w:rPr>
      <w:rFonts w:ascii="Tahoma" w:hAnsi="Tahoma" w:cs="Tahoma"/>
      <w:sz w:val="16"/>
      <w:szCs w:val="16"/>
    </w:rPr>
  </w:style>
  <w:style w:type="paragraph" w:styleId="Subtitle">
    <w:name w:val="Subtitle"/>
    <w:basedOn w:val="Normal"/>
    <w:qFormat/>
    <w:pPr>
      <w:jc w:val="center"/>
    </w:pPr>
    <w:rPr>
      <w:b/>
      <w:color w:val="000000"/>
      <w:sz w:val="28"/>
      <w:szCs w:val="20"/>
    </w:rPr>
  </w:style>
  <w:style w:type="paragraph" w:styleId="slovn" w:customStyle="1">
    <w:name w:val="Číslování"/>
    <w:basedOn w:val="Smlouva3"/>
    <w:qFormat/>
    <w:pPr>
      <w:widowControl/>
    </w:pPr>
    <w:rPr/>
  </w:style>
  <w:style w:type="paragraph" w:styleId="KUMS-adresa" w:customStyle="1">
    <w:name w:val="KUMS-adresa"/>
    <w:basedOn w:val="Normal"/>
    <w:qFormat/>
    <w:rsid w:val="00f13a88"/>
    <w:pPr>
      <w:spacing w:lineRule="exact" w:line="280"/>
      <w:jc w:val="both"/>
    </w:pPr>
    <w:rPr>
      <w:rFonts w:ascii="Tahoma" w:hAnsi="Tahoma" w:cs="Tahoma"/>
      <w:sz w:val="20"/>
      <w:szCs w:val="20"/>
    </w:rPr>
  </w:style>
  <w:style w:type="paragraph" w:styleId="CharChar1" w:customStyle="1">
    <w:name w:val="Char Char1"/>
    <w:basedOn w:val="Normal"/>
    <w:qFormat/>
    <w:rsid w:val="00b937d0"/>
    <w:pPr>
      <w:spacing w:lineRule="exact" w:line="240" w:before="0" w:after="160"/>
    </w:pPr>
    <w:rPr>
      <w:rFonts w:ascii="Verdana" w:hAnsi="Verdana" w:cs="Verdana"/>
      <w:sz w:val="20"/>
      <w:szCs w:val="20"/>
      <w:lang w:val="en-US" w:eastAsia="en-US"/>
    </w:rPr>
  </w:style>
  <w:style w:type="paragraph" w:styleId="msolistparagraph" w:customStyle="1">
    <w:name w:val="msolistparagraph"/>
    <w:basedOn w:val="Normal"/>
    <w:qFormat/>
    <w:rsid w:val="00441296"/>
    <w:pPr>
      <w:ind w:left="720"/>
    </w:pPr>
    <w:rPr/>
  </w:style>
  <w:style w:type="paragraph" w:styleId="CharCharChar" w:customStyle="1">
    <w:name w:val="Char Char Char"/>
    <w:basedOn w:val="Normal"/>
    <w:qFormat/>
    <w:rsid w:val="00655a98"/>
    <w:pPr>
      <w:spacing w:lineRule="exact" w:line="240" w:before="0" w:after="160"/>
    </w:pPr>
    <w:rPr>
      <w:rFonts w:ascii="Verdana" w:hAnsi="Verdana" w:cs="Verdana"/>
      <w:sz w:val="20"/>
      <w:szCs w:val="20"/>
      <w:lang w:val="en-US" w:eastAsia="en-US"/>
    </w:rPr>
  </w:style>
  <w:style w:type="paragraph" w:styleId="odstavecsmlouvy1" w:customStyle="1">
    <w:name w:val="odstavecsmlouvy1"/>
    <w:basedOn w:val="Normal"/>
    <w:qFormat/>
    <w:rsid w:val="004c68e7"/>
    <w:pPr>
      <w:spacing w:beforeAutospacing="1" w:afterAutospacing="1"/>
    </w:pPr>
    <w:rPr/>
  </w:style>
  <w:style w:type="paragraph" w:styleId="Default" w:customStyle="1">
    <w:name w:val="Default"/>
    <w:qFormat/>
    <w:rsid w:val="00807e38"/>
    <w:pPr>
      <w:widowControl/>
      <w:bidi w:val="0"/>
      <w:spacing w:before="0" w:after="0"/>
      <w:jc w:val="left"/>
    </w:pPr>
    <w:rPr>
      <w:rFonts w:ascii="Tahoma" w:hAnsi="Tahoma" w:cs="Tahoma" w:eastAsia="Times New Roman"/>
      <w:color w:val="000000"/>
      <w:kern w:val="0"/>
      <w:sz w:val="24"/>
      <w:szCs w:val="24"/>
      <w:lang w:val="cs-CZ" w:eastAsia="cs-CZ" w:bidi="ar-SA"/>
    </w:rPr>
  </w:style>
  <w:style w:type="paragraph" w:styleId="AnnotationText">
    <w:name w:val="Annotation Text"/>
    <w:basedOn w:val="Normal"/>
    <w:link w:val="TextkomenteChar"/>
    <w:uiPriority w:val="99"/>
    <w:unhideWhenUsed/>
    <w:rsid w:val="0017385a"/>
    <w:pPr/>
    <w:rPr>
      <w:sz w:val="20"/>
      <w:szCs w:val="20"/>
    </w:rPr>
  </w:style>
  <w:style w:type="paragraph" w:styleId="annotationsubject">
    <w:name w:val="annotation subject"/>
    <w:basedOn w:val="AnnotationText"/>
    <w:next w:val="AnnotationText"/>
    <w:link w:val="PedmtkomenteChar"/>
    <w:uiPriority w:val="99"/>
    <w:semiHidden/>
    <w:unhideWhenUsed/>
    <w:qFormat/>
    <w:rsid w:val="0017385a"/>
    <w:pPr/>
    <w:rPr>
      <w:b/>
      <w:bCs/>
    </w:rPr>
  </w:style>
  <w:style w:type="paragraph" w:styleId="paragraph" w:customStyle="1">
    <w:name w:val="paragraph"/>
    <w:basedOn w:val="Normal"/>
    <w:qFormat/>
    <w:rsid w:val="005e08a5"/>
    <w:pPr>
      <w:spacing w:beforeAutospacing="1" w:afterAutospacing="1"/>
    </w:pPr>
    <w:rPr/>
  </w:style>
  <w:style w:type="paragraph" w:styleId="ListParagraph">
    <w:name w:val="List Paragraph"/>
    <w:basedOn w:val="Normal"/>
    <w:uiPriority w:val="34"/>
    <w:qFormat/>
    <w:pPr>
      <w:spacing w:before="0" w:after="0"/>
      <w:ind w:left="720"/>
      <w:contextualSpacing/>
    </w:pPr>
    <w:rPr/>
  </w:style>
  <w:style w:type="numbering" w:styleId="Bezseznamu" w:default="1">
    <w:name w:val="Bez seznamu"/>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rsid w:val="00d606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ssrz.cz" TargetMode="External"/><Relationship Id="rId3" Type="http://schemas.openxmlformats.org/officeDocument/2006/relationships/hyperlink" Target="mailto:faktura@ssrz.cz"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2F641-1FA7-460A-A4FB-C1F69E908976}">
  <ds:schemaRefs>
    <ds:schemaRef ds:uri="http://schemas.openxmlformats.org/officeDocument/2006/bibliography"/>
  </ds:schemaRefs>
</ds:datastoreItem>
</file>

<file path=customXml/itemProps2.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7F4E04-257C-4DB0-86BD-9494F5FE1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0D1FDF-7F5D-473D-9B44-B3F15D4E0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LibreOffice/24.2.4.2$Windows_X86_64 LibreOffice_project/51a6219feb6075d9a4c46691dcfe0cd9c4fff3c2</Application>
  <AppVersion>15.0000</AppVersion>
  <Pages>12</Pages>
  <Words>4752</Words>
  <Characters>27862</Characters>
  <CharactersWithSpaces>32277</CharactersWithSpaces>
  <Paragraphs>219</Paragraphs>
  <Company>Moravskoslezský kraj</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2024-06-07T13:20:00Z</dcterms:created>
  <dc:creator>sames</dc:creator>
  <dc:description/>
  <dc:language>cs-CZ</dc:language>
  <cp:lastModifiedBy/>
  <cp:lastPrinted>2019-06-12T07:09:00Z</cp:lastPrinted>
  <dcterms:modified xsi:type="dcterms:W3CDTF">2024-07-17T11:56:48Z</dcterms:modified>
  <cp:revision>3</cp:revision>
  <dc:subject/>
  <dc:title>SMLOUVA  O  DÍLO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ActionId">
    <vt:lpwstr>c98fdd37-2dcd-4ca8-8100-d2df55d7289f</vt:lpwstr>
  </property>
  <property fmtid="{D5CDD505-2E9C-101B-9397-08002B2CF9AE}" pid="4" name="MSIP_Label_63ff9749-f68b-40ec-aa05-229831920469_ContentBits">
    <vt:lpwstr>2</vt:lpwstr>
  </property>
  <property fmtid="{D5CDD505-2E9C-101B-9397-08002B2CF9AE}" pid="5" name="MSIP_Label_63ff9749-f68b-40ec-aa05-229831920469_Enabled">
    <vt:lpwstr>true</vt:lpwstr>
  </property>
  <property fmtid="{D5CDD505-2E9C-101B-9397-08002B2CF9AE}" pid="6" name="MSIP_Label_63ff9749-f68b-40ec-aa05-229831920469_Method">
    <vt:lpwstr>Standard</vt:lpwstr>
  </property>
  <property fmtid="{D5CDD505-2E9C-101B-9397-08002B2CF9AE}" pid="7" name="MSIP_Label_63ff9749-f68b-40ec-aa05-229831920469_Name">
    <vt:lpwstr>Neveřejná informace</vt:lpwstr>
  </property>
  <property fmtid="{D5CDD505-2E9C-101B-9397-08002B2CF9AE}" pid="8" name="MSIP_Label_63ff9749-f68b-40ec-aa05-229831920469_SetDate">
    <vt:lpwstr>2022-02-04T10:04:10Z</vt:lpwstr>
  </property>
  <property fmtid="{D5CDD505-2E9C-101B-9397-08002B2CF9AE}" pid="9" name="MSIP_Label_63ff9749-f68b-40ec-aa05-229831920469_SiteId">
    <vt:lpwstr>39f24d0b-aa30-4551-8e81-43c77cf1000e</vt:lpwstr>
  </property>
</Properties>
</file>